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82"/>
        <w:tblW w:w="10055" w:type="dxa"/>
        <w:tblLayout w:type="fixed"/>
        <w:tblLook w:val="0000"/>
      </w:tblPr>
      <w:tblGrid>
        <w:gridCol w:w="2093"/>
        <w:gridCol w:w="2569"/>
        <w:gridCol w:w="2505"/>
        <w:gridCol w:w="2888"/>
      </w:tblGrid>
      <w:tr w:rsidR="006721FF" w:rsidRPr="006D6B95" w:rsidTr="00786E87">
        <w:trPr>
          <w:cantSplit/>
          <w:trHeight w:val="550"/>
        </w:trPr>
        <w:tc>
          <w:tcPr>
            <w:tcW w:w="4662" w:type="dxa"/>
            <w:gridSpan w:val="2"/>
            <w:vMerge w:val="restart"/>
          </w:tcPr>
          <w:p w:rsidR="006721FF" w:rsidRPr="006D6B95" w:rsidRDefault="006721FF" w:rsidP="00786E87">
            <w:pPr>
              <w:pStyle w:val="1"/>
              <w:jc w:val="both"/>
              <w:rPr>
                <w:rFonts w:asciiTheme="minorHAnsi" w:hAnsiTheme="minorHAnsi" w:cs="Tahoma"/>
                <w:b/>
                <w:bCs/>
                <w:sz w:val="20"/>
                <w:lang w:val="el-GR"/>
              </w:rPr>
            </w:pPr>
            <w:r w:rsidRPr="006D6B95">
              <w:rPr>
                <w:rFonts w:asciiTheme="minorHAnsi" w:hAnsiTheme="minorHAnsi" w:cs="Tahoma"/>
                <w:b/>
                <w:bCs/>
                <w:noProof/>
                <w:sz w:val="20"/>
                <w:lang w:val="el-GR"/>
              </w:rPr>
              <w:drawing>
                <wp:inline distT="0" distB="0" distL="0" distR="0">
                  <wp:extent cx="358140" cy="358140"/>
                  <wp:effectExtent l="19050" t="0" r="3810" b="0"/>
                  <wp:docPr id="1" name="Εικόνα 1" descr="ell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l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21FF" w:rsidRPr="006D6B95" w:rsidRDefault="006721FF" w:rsidP="00786E87">
            <w:pPr>
              <w:pStyle w:val="1"/>
              <w:rPr>
                <w:rFonts w:asciiTheme="minorHAnsi" w:hAnsiTheme="minorHAnsi" w:cs="Tahoma"/>
                <w:b/>
                <w:bCs/>
                <w:sz w:val="20"/>
                <w:lang w:val="el-GR"/>
              </w:rPr>
            </w:pPr>
            <w:r w:rsidRPr="006D6B95">
              <w:rPr>
                <w:rFonts w:asciiTheme="minorHAnsi" w:hAnsiTheme="minorHAnsi" w:cs="Tahoma"/>
                <w:b/>
                <w:bCs/>
                <w:sz w:val="20"/>
                <w:lang w:val="el-GR"/>
              </w:rPr>
              <w:t>ΕΛΛΗΝΙΚΗ ΔΗΜΟΚΡΑΤΙΑ</w:t>
            </w:r>
          </w:p>
          <w:p w:rsidR="006721FF" w:rsidRPr="006D6B95" w:rsidRDefault="006721FF" w:rsidP="00786E87">
            <w:pPr>
              <w:pStyle w:val="1"/>
              <w:rPr>
                <w:rFonts w:asciiTheme="minorHAnsi" w:hAnsiTheme="minorHAnsi" w:cs="Tahoma"/>
                <w:b/>
                <w:bCs/>
                <w:sz w:val="20"/>
                <w:lang w:val="el-GR"/>
              </w:rPr>
            </w:pPr>
            <w:r w:rsidRPr="006D6B95">
              <w:rPr>
                <w:rFonts w:asciiTheme="minorHAnsi" w:hAnsiTheme="minorHAnsi" w:cs="Tahoma"/>
                <w:b/>
                <w:bCs/>
                <w:sz w:val="20"/>
                <w:lang w:val="el-GR"/>
              </w:rPr>
              <w:t xml:space="preserve">ΝΟΜΟΣ ΞΑΝΘΗΣ </w:t>
            </w:r>
          </w:p>
          <w:p w:rsidR="006721FF" w:rsidRPr="006D6B95" w:rsidRDefault="006721FF" w:rsidP="00786E87">
            <w:pPr>
              <w:pStyle w:val="1"/>
              <w:rPr>
                <w:rFonts w:asciiTheme="minorHAnsi" w:hAnsiTheme="minorHAnsi" w:cs="Tahoma"/>
                <w:b/>
                <w:bCs/>
                <w:sz w:val="20"/>
                <w:lang w:val="el-GR"/>
              </w:rPr>
            </w:pPr>
            <w:r w:rsidRPr="006D6B95">
              <w:rPr>
                <w:rFonts w:asciiTheme="minorHAnsi" w:hAnsiTheme="minorHAnsi" w:cs="Tahoma"/>
                <w:b/>
                <w:bCs/>
                <w:sz w:val="20"/>
                <w:lang w:val="el-GR"/>
              </w:rPr>
              <w:t>ΔΗΜΟΣ ΞΑΝΘΗΣ</w:t>
            </w:r>
          </w:p>
          <w:p w:rsidR="006721FF" w:rsidRPr="006D6B95" w:rsidRDefault="006721FF" w:rsidP="00786E87">
            <w:pPr>
              <w:pStyle w:val="1"/>
              <w:rPr>
                <w:rFonts w:asciiTheme="minorHAnsi" w:hAnsiTheme="minorHAnsi" w:cs="Tahoma"/>
                <w:b/>
                <w:bCs/>
                <w:sz w:val="20"/>
                <w:lang w:val="el-GR"/>
              </w:rPr>
            </w:pPr>
            <w:r w:rsidRPr="006D6B95">
              <w:rPr>
                <w:rFonts w:asciiTheme="minorHAnsi" w:hAnsiTheme="minorHAnsi" w:cs="Tahoma"/>
                <w:b/>
                <w:bCs/>
                <w:sz w:val="20"/>
                <w:lang w:val="el-GR"/>
              </w:rPr>
              <w:t xml:space="preserve">ΔΙΕΥΘΥΝΣΗ ΚΟΙΝΩΝΙΚΗΣ ΠΡΟΣΤΑΣΙΑΣ </w:t>
            </w:r>
            <w:r w:rsidRPr="006D6B95">
              <w:rPr>
                <w:rFonts w:asciiTheme="minorHAnsi" w:hAnsiTheme="minorHAnsi" w:cs="Tahoma"/>
                <w:b/>
                <w:bCs/>
                <w:sz w:val="18"/>
                <w:szCs w:val="18"/>
                <w:lang w:val="el-GR"/>
              </w:rPr>
              <w:t>ΑΘΛΗΤΙΣΜΟΥ, ΠΑΙΔΕΙΑΣ &amp; ΠΟΛΙΤΙΣΜΟΥ</w:t>
            </w:r>
            <w:r w:rsidRPr="006D6B95">
              <w:rPr>
                <w:rFonts w:asciiTheme="minorHAnsi" w:hAnsiTheme="minorHAnsi" w:cs="Tahoma"/>
                <w:b/>
                <w:bCs/>
                <w:sz w:val="20"/>
                <w:lang w:val="el-GR"/>
              </w:rPr>
              <w:t xml:space="preserve"> </w:t>
            </w:r>
          </w:p>
          <w:p w:rsidR="006721FF" w:rsidRPr="006D6B95" w:rsidRDefault="006721FF" w:rsidP="00786E87">
            <w:pPr>
              <w:pStyle w:val="1"/>
              <w:rPr>
                <w:rFonts w:asciiTheme="minorHAnsi" w:hAnsiTheme="minorHAnsi" w:cs="Tahoma"/>
                <w:b/>
                <w:bCs/>
                <w:sz w:val="20"/>
                <w:lang w:val="el-GR"/>
              </w:rPr>
            </w:pPr>
            <w:r w:rsidRPr="006D6B95">
              <w:rPr>
                <w:rFonts w:asciiTheme="minorHAnsi" w:hAnsiTheme="minorHAnsi" w:cs="Tahoma"/>
                <w:b/>
                <w:bCs/>
                <w:sz w:val="20"/>
                <w:u w:val="single"/>
                <w:lang w:val="el-GR"/>
              </w:rPr>
              <w:t>ΓΡΑΦΕΙΟ ΤΟΥΡΙΣΜΟΥ- ΠΟΛΙΤΙΣΜΟΥ</w:t>
            </w:r>
          </w:p>
          <w:p w:rsidR="006721FF" w:rsidRPr="006D6B95" w:rsidRDefault="006721FF" w:rsidP="00786E87">
            <w:pPr>
              <w:pStyle w:val="1"/>
              <w:jc w:val="center"/>
              <w:rPr>
                <w:rFonts w:asciiTheme="minorHAnsi" w:hAnsiTheme="minorHAnsi" w:cs="Tahoma"/>
                <w:b/>
                <w:bCs/>
                <w:sz w:val="20"/>
                <w:lang w:val="el-GR"/>
              </w:rPr>
            </w:pPr>
          </w:p>
        </w:tc>
        <w:tc>
          <w:tcPr>
            <w:tcW w:w="5393" w:type="dxa"/>
            <w:gridSpan w:val="2"/>
            <w:noWrap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b/>
                <w:sz w:val="20"/>
                <w:szCs w:val="20"/>
                <w:u w:val="single"/>
              </w:rPr>
            </w:pPr>
          </w:p>
        </w:tc>
      </w:tr>
      <w:tr w:rsidR="006721FF" w:rsidRPr="006D6B95" w:rsidTr="00786E87">
        <w:trPr>
          <w:cantSplit/>
          <w:trHeight w:val="286"/>
        </w:trPr>
        <w:tc>
          <w:tcPr>
            <w:tcW w:w="4662" w:type="dxa"/>
            <w:gridSpan w:val="2"/>
            <w:vMerge/>
          </w:tcPr>
          <w:p w:rsidR="006721FF" w:rsidRPr="006D6B95" w:rsidRDefault="006721FF" w:rsidP="00786E87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2505" w:type="dxa"/>
            <w:noWrap/>
          </w:tcPr>
          <w:p w:rsidR="006721FF" w:rsidRPr="006D6B95" w:rsidRDefault="00786E87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888" w:type="dxa"/>
            <w:noWrap/>
          </w:tcPr>
          <w:p w:rsidR="006721FF" w:rsidRPr="000712D2" w:rsidRDefault="000712D2" w:rsidP="00786E87">
            <w:pPr>
              <w:spacing w:after="0" w:line="240" w:lineRule="auto"/>
              <w:rPr>
                <w:rFonts w:cs="Tahoma"/>
                <w:b/>
                <w:sz w:val="20"/>
                <w:szCs w:val="20"/>
              </w:rPr>
            </w:pPr>
            <w:r w:rsidRPr="000712D2">
              <w:rPr>
                <w:rFonts w:cs="Tahoma"/>
                <w:b/>
                <w:sz w:val="20"/>
                <w:szCs w:val="20"/>
              </w:rPr>
              <w:t>Ξάνθη  13</w:t>
            </w:r>
            <w:r w:rsidR="00786E87" w:rsidRPr="000712D2">
              <w:rPr>
                <w:rFonts w:cs="Tahoma"/>
                <w:b/>
                <w:sz w:val="20"/>
                <w:szCs w:val="20"/>
              </w:rPr>
              <w:t>-12-2018</w:t>
            </w:r>
          </w:p>
        </w:tc>
      </w:tr>
      <w:tr w:rsidR="006721FF" w:rsidRPr="006D6B95" w:rsidTr="00786E87">
        <w:trPr>
          <w:cantSplit/>
          <w:trHeight w:val="286"/>
        </w:trPr>
        <w:tc>
          <w:tcPr>
            <w:tcW w:w="4662" w:type="dxa"/>
            <w:gridSpan w:val="2"/>
            <w:vMerge/>
          </w:tcPr>
          <w:p w:rsidR="006721FF" w:rsidRPr="006D6B95" w:rsidRDefault="006721FF" w:rsidP="00786E87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2505" w:type="dxa"/>
            <w:noWrap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88" w:type="dxa"/>
            <w:noWrap/>
          </w:tcPr>
          <w:p w:rsidR="006721FF" w:rsidRPr="000712D2" w:rsidRDefault="00786E87" w:rsidP="00786E87">
            <w:pPr>
              <w:spacing w:after="0" w:line="240" w:lineRule="auto"/>
              <w:rPr>
                <w:rFonts w:cs="Tahoma"/>
                <w:b/>
                <w:sz w:val="20"/>
                <w:szCs w:val="20"/>
              </w:rPr>
            </w:pPr>
            <w:r w:rsidRPr="000712D2">
              <w:rPr>
                <w:rFonts w:cs="Tahoma"/>
                <w:b/>
                <w:sz w:val="20"/>
                <w:szCs w:val="20"/>
              </w:rPr>
              <w:t>Αρ. πρωτ.</w:t>
            </w:r>
            <w:r w:rsidR="00845E6C">
              <w:rPr>
                <w:rFonts w:cs="Tahoma"/>
                <w:b/>
                <w:sz w:val="20"/>
                <w:szCs w:val="20"/>
              </w:rPr>
              <w:t xml:space="preserve"> 36447</w:t>
            </w:r>
          </w:p>
        </w:tc>
      </w:tr>
      <w:tr w:rsidR="006721FF" w:rsidRPr="006D6B95" w:rsidTr="00786E87">
        <w:trPr>
          <w:cantSplit/>
          <w:trHeight w:val="286"/>
        </w:trPr>
        <w:tc>
          <w:tcPr>
            <w:tcW w:w="4662" w:type="dxa"/>
            <w:gridSpan w:val="2"/>
            <w:vMerge/>
          </w:tcPr>
          <w:p w:rsidR="006721FF" w:rsidRPr="006D6B95" w:rsidRDefault="006721FF" w:rsidP="00786E87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2505" w:type="dxa"/>
            <w:noWrap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  <w:tc>
          <w:tcPr>
            <w:tcW w:w="2888" w:type="dxa"/>
            <w:noWrap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b/>
                <w:bCs/>
                <w:sz w:val="20"/>
                <w:szCs w:val="20"/>
              </w:rPr>
            </w:pPr>
            <w:r w:rsidRPr="006D6B95">
              <w:rPr>
                <w:rFonts w:cs="Tahoma"/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6721FF" w:rsidRPr="006D6B95" w:rsidTr="00786E87">
        <w:trPr>
          <w:cantSplit/>
          <w:trHeight w:val="286"/>
        </w:trPr>
        <w:tc>
          <w:tcPr>
            <w:tcW w:w="4662" w:type="dxa"/>
            <w:gridSpan w:val="2"/>
            <w:vMerge/>
          </w:tcPr>
          <w:p w:rsidR="006721FF" w:rsidRPr="006D6B95" w:rsidRDefault="006721FF" w:rsidP="00786E87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2505" w:type="dxa"/>
            <w:noWrap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2888" w:type="dxa"/>
            <w:noWrap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b/>
                <w:i/>
                <w:sz w:val="20"/>
                <w:szCs w:val="20"/>
                <w:u w:val="single"/>
              </w:rPr>
            </w:pPr>
            <w:r w:rsidRPr="006D6B95">
              <w:rPr>
                <w:rFonts w:cs="Tahoma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</w:tr>
      <w:tr w:rsidR="006721FF" w:rsidRPr="006D6B95" w:rsidTr="00786E87">
        <w:trPr>
          <w:cantSplit/>
          <w:trHeight w:val="482"/>
        </w:trPr>
        <w:tc>
          <w:tcPr>
            <w:tcW w:w="4662" w:type="dxa"/>
            <w:gridSpan w:val="2"/>
            <w:vMerge/>
          </w:tcPr>
          <w:p w:rsidR="006721FF" w:rsidRPr="006D6B95" w:rsidRDefault="006721FF" w:rsidP="00786E87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5393" w:type="dxa"/>
            <w:gridSpan w:val="2"/>
            <w:vMerge w:val="restart"/>
            <w:noWrap/>
          </w:tcPr>
          <w:p w:rsidR="006721FF" w:rsidRPr="006D6B95" w:rsidRDefault="006721FF" w:rsidP="00786E87">
            <w:pPr>
              <w:pStyle w:val="7"/>
              <w:framePr w:hSpace="0" w:wrap="auto" w:vAnchor="margin" w:hAnchor="text" w:xAlign="left" w:yAlign="inline"/>
              <w:rPr>
                <w:rFonts w:asciiTheme="minorHAnsi" w:hAnsiTheme="minorHAnsi" w:cs="Tahoma"/>
                <w:b w:val="0"/>
                <w:sz w:val="20"/>
                <w:szCs w:val="20"/>
              </w:rPr>
            </w:pP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b/>
              </w:rPr>
            </w:pP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b/>
              </w:rPr>
            </w:pP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</w:rPr>
            </w:pPr>
          </w:p>
        </w:tc>
      </w:tr>
      <w:tr w:rsidR="006721FF" w:rsidRPr="006D6B95" w:rsidTr="00786E87">
        <w:trPr>
          <w:cantSplit/>
          <w:trHeight w:val="1475"/>
        </w:trPr>
        <w:tc>
          <w:tcPr>
            <w:tcW w:w="2093" w:type="dxa"/>
          </w:tcPr>
          <w:p w:rsidR="006721FF" w:rsidRPr="006D6B95" w:rsidRDefault="006721FF" w:rsidP="00786E87">
            <w:pPr>
              <w:spacing w:after="0" w:line="240" w:lineRule="auto"/>
              <w:ind w:right="470"/>
              <w:rPr>
                <w:rFonts w:cs="Tahoma"/>
                <w:sz w:val="20"/>
                <w:szCs w:val="20"/>
              </w:rPr>
            </w:pPr>
            <w:proofErr w:type="spellStart"/>
            <w:r w:rsidRPr="006D6B95">
              <w:rPr>
                <w:rFonts w:cs="Tahoma"/>
                <w:sz w:val="20"/>
                <w:szCs w:val="20"/>
              </w:rPr>
              <w:t>Ταχ</w:t>
            </w:r>
            <w:proofErr w:type="spellEnd"/>
            <w:r w:rsidRPr="006D6B95">
              <w:rPr>
                <w:rFonts w:cs="Tahoma"/>
                <w:sz w:val="20"/>
                <w:szCs w:val="20"/>
              </w:rPr>
              <w:t xml:space="preserve">. Δ/νση:                    </w:t>
            </w: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  <w:lang w:val="en-US"/>
              </w:rPr>
              <w:t>T</w:t>
            </w:r>
            <w:r w:rsidRPr="006D6B95">
              <w:rPr>
                <w:rFonts w:cs="Tahoma"/>
                <w:sz w:val="20"/>
                <w:szCs w:val="20"/>
              </w:rPr>
              <w:t>αχ. Κώδικας</w:t>
            </w: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</w:rPr>
              <w:t xml:space="preserve">Πληροφορίες:  </w:t>
            </w: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</w:rPr>
              <w:t xml:space="preserve">Τηλέφωνο : </w:t>
            </w: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  <w:lang w:val="en-US"/>
              </w:rPr>
              <w:t>Fax</w:t>
            </w:r>
            <w:r w:rsidRPr="006D6B95">
              <w:rPr>
                <w:rFonts w:cs="Tahoma"/>
                <w:sz w:val="20"/>
                <w:szCs w:val="20"/>
              </w:rPr>
              <w:t>:</w:t>
            </w: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proofErr w:type="spellStart"/>
            <w:r w:rsidRPr="006D6B95">
              <w:rPr>
                <w:rFonts w:cs="Tahoma"/>
                <w:sz w:val="20"/>
                <w:szCs w:val="20"/>
              </w:rPr>
              <w:t>Ηλεκτρ</w:t>
            </w:r>
            <w:proofErr w:type="spellEnd"/>
            <w:r w:rsidRPr="006D6B95">
              <w:rPr>
                <w:rFonts w:cs="Tahoma"/>
                <w:sz w:val="20"/>
                <w:szCs w:val="20"/>
              </w:rPr>
              <w:t>/</w:t>
            </w:r>
            <w:proofErr w:type="spellStart"/>
            <w:r w:rsidRPr="006D6B95">
              <w:rPr>
                <w:rFonts w:cs="Tahoma"/>
                <w:sz w:val="20"/>
                <w:szCs w:val="20"/>
              </w:rPr>
              <w:t>κή</w:t>
            </w:r>
            <w:proofErr w:type="spellEnd"/>
            <w:r w:rsidRPr="006D6B95">
              <w:rPr>
                <w:rFonts w:cs="Tahoma"/>
                <w:sz w:val="20"/>
                <w:szCs w:val="20"/>
              </w:rPr>
              <w:t xml:space="preserve"> Δ/</w:t>
            </w:r>
            <w:proofErr w:type="spellStart"/>
            <w:r w:rsidRPr="006D6B95">
              <w:rPr>
                <w:rFonts w:cs="Tahoma"/>
                <w:sz w:val="20"/>
                <w:szCs w:val="20"/>
              </w:rPr>
              <w:t>νση:</w:t>
            </w:r>
            <w:proofErr w:type="spellEnd"/>
          </w:p>
        </w:tc>
        <w:tc>
          <w:tcPr>
            <w:tcW w:w="2569" w:type="dxa"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</w:rPr>
              <w:t xml:space="preserve">Διοικητήριο </w:t>
            </w: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</w:rPr>
              <w:t xml:space="preserve">67100 </w:t>
            </w:r>
          </w:p>
          <w:p w:rsidR="006721FF" w:rsidRPr="006D6B95" w:rsidRDefault="00786E87" w:rsidP="00786E87">
            <w:pPr>
              <w:spacing w:after="0" w:line="240" w:lineRule="auto"/>
              <w:ind w:right="470"/>
              <w:rPr>
                <w:rFonts w:cs="Tahoma"/>
                <w:bCs/>
                <w:sz w:val="20"/>
                <w:szCs w:val="20"/>
              </w:rPr>
            </w:pPr>
            <w:r w:rsidRPr="006D6B95">
              <w:rPr>
                <w:rFonts w:cs="Tahoma"/>
                <w:bCs/>
                <w:sz w:val="20"/>
                <w:szCs w:val="20"/>
              </w:rPr>
              <w:t>Α. Αλατά</w:t>
            </w:r>
          </w:p>
          <w:p w:rsidR="006721FF" w:rsidRPr="006D6B95" w:rsidRDefault="006721FF" w:rsidP="00786E87">
            <w:pPr>
              <w:spacing w:after="0" w:line="240" w:lineRule="auto"/>
              <w:ind w:right="470"/>
              <w:rPr>
                <w:rFonts w:cs="Tahoma"/>
                <w:bCs/>
                <w:sz w:val="20"/>
                <w:szCs w:val="20"/>
              </w:rPr>
            </w:pPr>
            <w:r w:rsidRPr="006D6B95">
              <w:rPr>
                <w:rFonts w:cs="Tahoma"/>
                <w:bCs/>
                <w:sz w:val="20"/>
                <w:szCs w:val="20"/>
              </w:rPr>
              <w:t>254105012</w:t>
            </w:r>
            <w:r w:rsidR="00786E87" w:rsidRPr="006D6B95">
              <w:rPr>
                <w:rFonts w:cs="Tahoma"/>
                <w:bCs/>
                <w:sz w:val="20"/>
                <w:szCs w:val="20"/>
              </w:rPr>
              <w:t>4</w:t>
            </w:r>
          </w:p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D6B95">
              <w:rPr>
                <w:rFonts w:cs="Tahoma"/>
                <w:sz w:val="20"/>
                <w:szCs w:val="20"/>
              </w:rPr>
              <w:t>2541029936</w:t>
            </w:r>
          </w:p>
          <w:p w:rsidR="006721FF" w:rsidRPr="006D6B95" w:rsidRDefault="001F1187" w:rsidP="00786E87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hyperlink r:id="rId6" w:history="1">
              <w:r w:rsidR="006721FF" w:rsidRPr="006D6B95">
                <w:rPr>
                  <w:rStyle w:val="-"/>
                  <w:rFonts w:cs="Tahoma"/>
                  <w:color w:val="auto"/>
                  <w:sz w:val="20"/>
                  <w:szCs w:val="20"/>
                  <w:lang w:val="en-US"/>
                </w:rPr>
                <w:t>pronoia</w:t>
              </w:r>
              <w:r w:rsidR="006721FF" w:rsidRPr="006D6B95">
                <w:rPr>
                  <w:rStyle w:val="-"/>
                  <w:rFonts w:cs="Tahoma"/>
                  <w:color w:val="auto"/>
                  <w:sz w:val="20"/>
                  <w:szCs w:val="20"/>
                </w:rPr>
                <w:t>@</w:t>
              </w:r>
              <w:r w:rsidR="006721FF" w:rsidRPr="006D6B95">
                <w:rPr>
                  <w:rStyle w:val="-"/>
                  <w:rFonts w:cs="Tahoma"/>
                  <w:color w:val="auto"/>
                  <w:sz w:val="20"/>
                  <w:szCs w:val="20"/>
                  <w:lang w:val="en-US"/>
                </w:rPr>
                <w:t>cityofxanthi</w:t>
              </w:r>
              <w:r w:rsidR="006721FF" w:rsidRPr="006D6B95">
                <w:rPr>
                  <w:rStyle w:val="-"/>
                  <w:rFonts w:cs="Tahoma"/>
                  <w:color w:val="auto"/>
                  <w:sz w:val="20"/>
                  <w:szCs w:val="20"/>
                </w:rPr>
                <w:t>.</w:t>
              </w:r>
              <w:r w:rsidR="006721FF" w:rsidRPr="006D6B95">
                <w:rPr>
                  <w:rStyle w:val="-"/>
                  <w:rFonts w:cs="Tahoma"/>
                  <w:color w:val="auto"/>
                  <w:sz w:val="20"/>
                  <w:szCs w:val="20"/>
                  <w:lang w:val="en-US"/>
                </w:rPr>
                <w:t>gr</w:t>
              </w:r>
            </w:hyperlink>
          </w:p>
        </w:tc>
        <w:tc>
          <w:tcPr>
            <w:tcW w:w="5393" w:type="dxa"/>
            <w:gridSpan w:val="2"/>
            <w:vMerge/>
            <w:noWrap/>
          </w:tcPr>
          <w:p w:rsidR="006721FF" w:rsidRPr="006D6B95" w:rsidRDefault="006721FF" w:rsidP="00786E87">
            <w:pPr>
              <w:spacing w:after="0" w:line="240" w:lineRule="auto"/>
              <w:rPr>
                <w:rFonts w:cs="Tahoma"/>
                <w:sz w:val="20"/>
                <w:szCs w:val="20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134"/>
      </w:tblGrid>
      <w:tr w:rsidR="00D64A04" w:rsidRPr="006D6B95" w:rsidTr="00D64A04">
        <w:trPr>
          <w:trHeight w:val="332"/>
        </w:trPr>
        <w:tc>
          <w:tcPr>
            <w:tcW w:w="2802" w:type="dxa"/>
            <w:vAlign w:val="center"/>
          </w:tcPr>
          <w:p w:rsidR="00786E87" w:rsidRPr="006D6B95" w:rsidRDefault="00786E87"/>
          <w:p w:rsidR="00D64A04" w:rsidRPr="006D6B95" w:rsidRDefault="00D64A04">
            <w:r w:rsidRPr="006D6B95">
              <w:t>ΑΠΑΙΤΟΥΜΕΝΗ ΠΙΣΤΩΣΗ</w:t>
            </w:r>
          </w:p>
        </w:tc>
        <w:tc>
          <w:tcPr>
            <w:tcW w:w="1134" w:type="dxa"/>
            <w:vAlign w:val="center"/>
          </w:tcPr>
          <w:p w:rsidR="00786E87" w:rsidRPr="006D6B95" w:rsidRDefault="00786E87" w:rsidP="00D64A04">
            <w:pPr>
              <w:jc w:val="right"/>
            </w:pPr>
          </w:p>
          <w:p w:rsidR="00D64A04" w:rsidRPr="006D6B95" w:rsidRDefault="00D64A04" w:rsidP="00D64A04">
            <w:pPr>
              <w:jc w:val="right"/>
            </w:pPr>
            <w:r w:rsidRPr="006D6B95">
              <w:t>14</w:t>
            </w:r>
            <w:r w:rsidR="007117B2">
              <w:t>.</w:t>
            </w:r>
            <w:r w:rsidRPr="006D6B95">
              <w:t>500€</w:t>
            </w:r>
          </w:p>
        </w:tc>
      </w:tr>
      <w:tr w:rsidR="00D64A04" w:rsidRPr="006D6B95" w:rsidTr="00D64A04">
        <w:trPr>
          <w:trHeight w:val="185"/>
        </w:trPr>
        <w:tc>
          <w:tcPr>
            <w:tcW w:w="2802" w:type="dxa"/>
            <w:vAlign w:val="center"/>
          </w:tcPr>
          <w:p w:rsidR="00D64A04" w:rsidRPr="006D6B95" w:rsidRDefault="00D64A04">
            <w:r w:rsidRPr="006D6B95">
              <w:t>Φ.Π.Α 24%</w:t>
            </w:r>
          </w:p>
        </w:tc>
        <w:tc>
          <w:tcPr>
            <w:tcW w:w="1134" w:type="dxa"/>
            <w:vAlign w:val="center"/>
          </w:tcPr>
          <w:p w:rsidR="00D64A04" w:rsidRPr="006D6B95" w:rsidRDefault="00D64A04" w:rsidP="00D64A04">
            <w:pPr>
              <w:jc w:val="right"/>
            </w:pPr>
            <w:r w:rsidRPr="006D6B95">
              <w:t xml:space="preserve">   3</w:t>
            </w:r>
            <w:r w:rsidR="007117B2">
              <w:t>.</w:t>
            </w:r>
            <w:r w:rsidRPr="006D6B95">
              <w:t>480€</w:t>
            </w:r>
          </w:p>
        </w:tc>
      </w:tr>
      <w:tr w:rsidR="00D64A04" w:rsidRPr="006D6B95" w:rsidTr="00D64A04">
        <w:trPr>
          <w:trHeight w:val="185"/>
        </w:trPr>
        <w:tc>
          <w:tcPr>
            <w:tcW w:w="2802" w:type="dxa"/>
            <w:vAlign w:val="center"/>
          </w:tcPr>
          <w:p w:rsidR="00D64A04" w:rsidRPr="006D6B95" w:rsidRDefault="00D64A04">
            <w:r w:rsidRPr="006D6B95">
              <w:t>ΣΥΝΟΛΟ</w:t>
            </w:r>
          </w:p>
        </w:tc>
        <w:tc>
          <w:tcPr>
            <w:tcW w:w="1134" w:type="dxa"/>
            <w:vAlign w:val="center"/>
          </w:tcPr>
          <w:p w:rsidR="00D64A04" w:rsidRPr="006D6B95" w:rsidRDefault="00D64A04" w:rsidP="00D64A04">
            <w:pPr>
              <w:jc w:val="right"/>
            </w:pPr>
            <w:r w:rsidRPr="006D6B95">
              <w:t>17</w:t>
            </w:r>
            <w:r w:rsidR="007117B2">
              <w:t>.</w:t>
            </w:r>
            <w:r w:rsidRPr="006D6B95">
              <w:t>980€</w:t>
            </w:r>
          </w:p>
        </w:tc>
      </w:tr>
    </w:tbl>
    <w:p w:rsidR="00D64A04" w:rsidRPr="006D6B95" w:rsidRDefault="00D64A04"/>
    <w:p w:rsidR="003B3EDB" w:rsidRPr="006D6B95" w:rsidRDefault="00A80F15" w:rsidP="00786E87">
      <w:pPr>
        <w:jc w:val="center"/>
        <w:rPr>
          <w:b/>
        </w:rPr>
      </w:pPr>
      <w:r w:rsidRPr="006D6B95">
        <w:rPr>
          <w:b/>
        </w:rPr>
        <w:t>ΤΕΧΝΙΚΗ ΕΚΘΕΣΗ</w:t>
      </w:r>
    </w:p>
    <w:p w:rsidR="003B3EDB" w:rsidRPr="006D6B95" w:rsidRDefault="003B3EDB">
      <w:pPr>
        <w:rPr>
          <w:b/>
        </w:rPr>
      </w:pPr>
    </w:p>
    <w:p w:rsidR="00E27C2F" w:rsidRPr="006D6B95" w:rsidRDefault="003B3EDB" w:rsidP="00786E87">
      <w:pPr>
        <w:jc w:val="both"/>
      </w:pPr>
      <w:r w:rsidRPr="006D6B95">
        <w:t>Ο Δήμος Ξάνθη</w:t>
      </w:r>
      <w:r w:rsidR="00D12F53" w:rsidRPr="006D6B95">
        <w:t>ς, συμφώνα με την  με αριθμό  335</w:t>
      </w:r>
      <w:r w:rsidRPr="006D6B95">
        <w:t xml:space="preserve">/2018 απόφαση του Δημοτικού Συμβουλίου, προκηρύσσει την επιλογή αναδόχου, με </w:t>
      </w:r>
      <w:r w:rsidR="00966976" w:rsidRPr="006D6B95">
        <w:t>απευθείας ανάθεση</w:t>
      </w:r>
      <w:r w:rsidR="00E52C2A">
        <w:t>,</w:t>
      </w:r>
      <w:r w:rsidR="00E27C2F" w:rsidRPr="006D6B95">
        <w:t xml:space="preserve"> για την «</w:t>
      </w:r>
      <w:r w:rsidRPr="006D6B95">
        <w:t>Ενοικίαση- Μίσθωση Παιχνιδιών</w:t>
      </w:r>
      <w:r w:rsidR="00E27C2F" w:rsidRPr="006D6B95">
        <w:t xml:space="preserve"> </w:t>
      </w:r>
      <w:r w:rsidR="00E27C2F" w:rsidRPr="006D6B95">
        <w:rPr>
          <w:lang w:val="en-US"/>
        </w:rPr>
        <w:t>CAROUSEL</w:t>
      </w:r>
      <w:r w:rsidR="00E27C2F" w:rsidRPr="006D6B95">
        <w:t xml:space="preserve"> και παροχή υπηρεσιών», βάσει του Ν.4412/2016 και με την χαμηλότερη οικονομική προσφορά.</w:t>
      </w:r>
    </w:p>
    <w:p w:rsidR="00E27C2F" w:rsidRPr="006D6B95" w:rsidRDefault="00A80F15" w:rsidP="00786E87">
      <w:pPr>
        <w:jc w:val="both"/>
      </w:pPr>
      <w:r w:rsidRPr="006D6B95">
        <w:t>Η προ</w:t>
      </w:r>
      <w:r w:rsidR="00E27C2F" w:rsidRPr="006D6B95">
        <w:t xml:space="preserve">κηρυσσόμενη σύμβαση έχει μέγιστο προϋπολογισμό </w:t>
      </w:r>
      <w:r w:rsidR="00ED4A9A" w:rsidRPr="006D6B95">
        <w:t>17.980,</w:t>
      </w:r>
      <w:r w:rsidR="00E27C2F" w:rsidRPr="006D6B95">
        <w:t xml:space="preserve">00 </w:t>
      </w:r>
      <w:r w:rsidR="00357BE0" w:rsidRPr="006D6B95">
        <w:t>€</w:t>
      </w:r>
      <w:r w:rsidR="00E27C2F" w:rsidRPr="006D6B95">
        <w:t xml:space="preserve"> συμπεριλαμβανομένου ΦΠΑ 24%</w:t>
      </w:r>
    </w:p>
    <w:p w:rsidR="00E52C2A" w:rsidRDefault="00E52C2A" w:rsidP="00E52C2A">
      <w:pPr>
        <w:rPr>
          <w:b/>
        </w:rPr>
      </w:pPr>
    </w:p>
    <w:p w:rsidR="00E27C2F" w:rsidRPr="006D6B95" w:rsidRDefault="00FE7F98" w:rsidP="00E52C2A">
      <w:pPr>
        <w:jc w:val="center"/>
        <w:rPr>
          <w:b/>
        </w:rPr>
      </w:pPr>
      <w:r w:rsidRPr="006D6B95">
        <w:rPr>
          <w:b/>
        </w:rPr>
        <w:t>ΑΝΤΙΚΕΙΜΕΝΟ ΤΗΣ ΣΥΜΒΑΣΗΣ</w:t>
      </w:r>
    </w:p>
    <w:p w:rsidR="00817347" w:rsidRPr="006D6B95" w:rsidRDefault="00817347" w:rsidP="00A23A49">
      <w:pPr>
        <w:jc w:val="both"/>
      </w:pPr>
      <w:r w:rsidRPr="006D6B95">
        <w:t xml:space="preserve">Το αντικείμενο </w:t>
      </w:r>
      <w:r w:rsidR="00D33D4B" w:rsidRPr="006D6B95">
        <w:t xml:space="preserve">της σύμβασης συνίσταται στο </w:t>
      </w:r>
      <w:r w:rsidRPr="006D6B95">
        <w:t>να τοπ</w:t>
      </w:r>
      <w:r w:rsidR="00D33D4B" w:rsidRPr="006D6B95">
        <w:t>οθετήσει, λειτουργήσει και</w:t>
      </w:r>
      <w:r w:rsidR="00125CC7" w:rsidRPr="006D6B95">
        <w:t xml:space="preserve"> </w:t>
      </w:r>
      <w:r w:rsidRPr="006D6B95">
        <w:t xml:space="preserve"> αποσυναρμολογήσει </w:t>
      </w:r>
      <w:r w:rsidR="00D33D4B" w:rsidRPr="006D6B95">
        <w:t xml:space="preserve">ο ανάδοχος </w:t>
      </w:r>
      <w:r w:rsidRPr="006D6B95">
        <w:t>τα εξής παιχνίδια:</w:t>
      </w:r>
    </w:p>
    <w:tbl>
      <w:tblPr>
        <w:tblStyle w:val="a3"/>
        <w:tblW w:w="0" w:type="auto"/>
        <w:tblLook w:val="04A0"/>
      </w:tblPr>
      <w:tblGrid>
        <w:gridCol w:w="1971"/>
        <w:gridCol w:w="2390"/>
        <w:gridCol w:w="1552"/>
        <w:gridCol w:w="1971"/>
        <w:gridCol w:w="1971"/>
      </w:tblGrid>
      <w:tr w:rsidR="00817347" w:rsidRPr="006D6B95" w:rsidTr="00357BE0">
        <w:tc>
          <w:tcPr>
            <w:tcW w:w="1971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>ΠΟΣΟΤΗΤΑ</w:t>
            </w:r>
          </w:p>
        </w:tc>
        <w:tc>
          <w:tcPr>
            <w:tcW w:w="2390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>ΠΕΡΙΓΡΑΦΗ</w:t>
            </w:r>
          </w:p>
        </w:tc>
        <w:tc>
          <w:tcPr>
            <w:tcW w:w="1552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 xml:space="preserve">ΑΞΙΑ </w:t>
            </w:r>
          </w:p>
        </w:tc>
        <w:tc>
          <w:tcPr>
            <w:tcW w:w="1971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>ΦΠΑ24%</w:t>
            </w:r>
          </w:p>
        </w:tc>
        <w:tc>
          <w:tcPr>
            <w:tcW w:w="1971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>ΓΕΝΙΚΟ ΣΥΝΟΛΟ</w:t>
            </w:r>
          </w:p>
        </w:tc>
      </w:tr>
      <w:tr w:rsidR="00817347" w:rsidRPr="006D6B95" w:rsidTr="00357BE0">
        <w:tc>
          <w:tcPr>
            <w:tcW w:w="1971" w:type="dxa"/>
          </w:tcPr>
          <w:p w:rsidR="00817347" w:rsidRPr="006D6B95" w:rsidRDefault="00817347" w:rsidP="00786E87">
            <w:pPr>
              <w:jc w:val="both"/>
            </w:pPr>
            <w:r w:rsidRPr="006D6B95">
              <w:t>1 ΠΑΙΧΝ</w:t>
            </w:r>
            <w:r w:rsidR="00357BE0" w:rsidRPr="006D6B95">
              <w:t>ΙΔΙ</w:t>
            </w:r>
          </w:p>
        </w:tc>
        <w:tc>
          <w:tcPr>
            <w:tcW w:w="2390" w:type="dxa"/>
          </w:tcPr>
          <w:p w:rsidR="00817347" w:rsidRPr="006D6B95" w:rsidRDefault="00817347" w:rsidP="00786E87">
            <w:pPr>
              <w:jc w:val="both"/>
            </w:pPr>
            <w:r w:rsidRPr="006D6B95">
              <w:t>Ένα κ</w:t>
            </w:r>
            <w:r w:rsidR="00357BE0" w:rsidRPr="006D6B95">
              <w:t xml:space="preserve">αρουζέλ </w:t>
            </w:r>
            <w:r w:rsidRPr="006D6B95">
              <w:t>θεματικού</w:t>
            </w:r>
            <w:r w:rsidR="00A23A49">
              <w:t xml:space="preserve"> Χριστουγεννιάτικου διακόσμου τουλάχιστον 24</w:t>
            </w:r>
            <w:r w:rsidRPr="006D6B95">
              <w:t xml:space="preserve"> θέσεων</w:t>
            </w:r>
            <w:r w:rsidR="00A23A49">
              <w:t>,</w:t>
            </w:r>
            <w:r w:rsidRPr="006D6B95">
              <w:t xml:space="preserve"> </w:t>
            </w:r>
            <w:r w:rsidR="00357BE0" w:rsidRPr="006D6B95">
              <w:t>8,60 μέτρων</w:t>
            </w:r>
          </w:p>
        </w:tc>
        <w:tc>
          <w:tcPr>
            <w:tcW w:w="1552" w:type="dxa"/>
          </w:tcPr>
          <w:p w:rsidR="00817347" w:rsidRPr="006D6B95" w:rsidRDefault="00817347" w:rsidP="00786E87">
            <w:pPr>
              <w:jc w:val="both"/>
            </w:pPr>
          </w:p>
          <w:p w:rsidR="00357BE0" w:rsidRPr="006D6B95" w:rsidRDefault="00357BE0" w:rsidP="00786E87">
            <w:pPr>
              <w:jc w:val="both"/>
            </w:pPr>
          </w:p>
          <w:p w:rsidR="00357BE0" w:rsidRPr="006D6B95" w:rsidRDefault="00357BE0" w:rsidP="00786E87">
            <w:pPr>
              <w:jc w:val="both"/>
            </w:pPr>
            <w:r w:rsidRPr="006D6B95">
              <w:t>14.500,00 €</w:t>
            </w:r>
          </w:p>
        </w:tc>
        <w:tc>
          <w:tcPr>
            <w:tcW w:w="1971" w:type="dxa"/>
          </w:tcPr>
          <w:p w:rsidR="00817347" w:rsidRPr="006D6B95" w:rsidRDefault="00817347" w:rsidP="00786E87">
            <w:pPr>
              <w:jc w:val="both"/>
            </w:pPr>
          </w:p>
          <w:p w:rsidR="00357BE0" w:rsidRPr="006D6B95" w:rsidRDefault="00357BE0" w:rsidP="00786E87">
            <w:pPr>
              <w:jc w:val="both"/>
            </w:pPr>
          </w:p>
          <w:p w:rsidR="00357BE0" w:rsidRPr="006D6B95" w:rsidRDefault="00357BE0" w:rsidP="00786E87">
            <w:pPr>
              <w:jc w:val="both"/>
            </w:pPr>
            <w:r w:rsidRPr="006D6B95">
              <w:t>3.480,00€</w:t>
            </w:r>
          </w:p>
        </w:tc>
        <w:tc>
          <w:tcPr>
            <w:tcW w:w="1971" w:type="dxa"/>
          </w:tcPr>
          <w:p w:rsidR="00817347" w:rsidRPr="006D6B95" w:rsidRDefault="00817347" w:rsidP="00786E87">
            <w:pPr>
              <w:jc w:val="both"/>
            </w:pPr>
          </w:p>
          <w:p w:rsidR="00357BE0" w:rsidRPr="006D6B95" w:rsidRDefault="00357BE0" w:rsidP="00786E87">
            <w:pPr>
              <w:jc w:val="both"/>
            </w:pPr>
          </w:p>
          <w:p w:rsidR="00357BE0" w:rsidRPr="006D6B95" w:rsidRDefault="00357BE0" w:rsidP="00786E87">
            <w:pPr>
              <w:jc w:val="both"/>
            </w:pPr>
            <w:r w:rsidRPr="006D6B95">
              <w:t>17.980,00 €</w:t>
            </w:r>
          </w:p>
        </w:tc>
      </w:tr>
      <w:tr w:rsidR="00817347" w:rsidRPr="006D6B95" w:rsidTr="00357BE0">
        <w:tc>
          <w:tcPr>
            <w:tcW w:w="1971" w:type="dxa"/>
          </w:tcPr>
          <w:p w:rsidR="00817347" w:rsidRPr="006D6B95" w:rsidRDefault="00357BE0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 xml:space="preserve">ΣΥΝΟΛΑ </w:t>
            </w:r>
          </w:p>
        </w:tc>
        <w:tc>
          <w:tcPr>
            <w:tcW w:w="2390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</w:p>
        </w:tc>
        <w:tc>
          <w:tcPr>
            <w:tcW w:w="1552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</w:p>
          <w:p w:rsidR="00357BE0" w:rsidRPr="006D6B95" w:rsidRDefault="00357BE0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>14.500,00 €</w:t>
            </w:r>
          </w:p>
        </w:tc>
        <w:tc>
          <w:tcPr>
            <w:tcW w:w="1971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</w:p>
          <w:p w:rsidR="00357BE0" w:rsidRPr="006D6B95" w:rsidRDefault="00357BE0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>3.480,00 €</w:t>
            </w:r>
          </w:p>
        </w:tc>
        <w:tc>
          <w:tcPr>
            <w:tcW w:w="1971" w:type="dxa"/>
          </w:tcPr>
          <w:p w:rsidR="00817347" w:rsidRPr="006D6B95" w:rsidRDefault="00817347" w:rsidP="00786E87">
            <w:pPr>
              <w:jc w:val="both"/>
              <w:rPr>
                <w:b/>
              </w:rPr>
            </w:pPr>
          </w:p>
          <w:p w:rsidR="00357BE0" w:rsidRPr="006D6B95" w:rsidRDefault="00357BE0" w:rsidP="00786E87">
            <w:pPr>
              <w:jc w:val="both"/>
              <w:rPr>
                <w:b/>
              </w:rPr>
            </w:pPr>
            <w:r w:rsidRPr="006D6B95">
              <w:rPr>
                <w:b/>
              </w:rPr>
              <w:t>17.980,00 €</w:t>
            </w:r>
          </w:p>
        </w:tc>
      </w:tr>
    </w:tbl>
    <w:p w:rsidR="00786E87" w:rsidRPr="006D6B95" w:rsidRDefault="00786E87" w:rsidP="00786E87">
      <w:pPr>
        <w:jc w:val="both"/>
      </w:pPr>
    </w:p>
    <w:p w:rsidR="00E52C2A" w:rsidRDefault="00125CC7" w:rsidP="00786E87">
      <w:pPr>
        <w:jc w:val="both"/>
      </w:pPr>
      <w:r w:rsidRPr="006D6B95">
        <w:t xml:space="preserve">με συνολικό προϋπολογισμό δαπάνης </w:t>
      </w:r>
      <w:r w:rsidR="00A80F15" w:rsidRPr="006D6B95">
        <w:t xml:space="preserve"> </w:t>
      </w:r>
      <w:r w:rsidR="00786E87" w:rsidRPr="006D6B95">
        <w:t>17.980.00</w:t>
      </w:r>
      <w:r w:rsidRPr="006D6B95">
        <w:t xml:space="preserve">€  συμπεριλαμβανομένου του Φ.Π.Α 24% </w:t>
      </w:r>
      <w:r w:rsidR="00E52C2A">
        <w:t xml:space="preserve">και </w:t>
      </w:r>
      <w:r w:rsidRPr="006D6B95">
        <w:t>για λογαριασμό του Δήμου Ξάνθης, όπως αυτό περιγράφεται αναλυτικά στη συνέχεια</w:t>
      </w:r>
      <w:r w:rsidR="00E52C2A">
        <w:t>.</w:t>
      </w:r>
    </w:p>
    <w:p w:rsidR="00125CC7" w:rsidRPr="006D6B95" w:rsidRDefault="00A86504" w:rsidP="00786E87">
      <w:pPr>
        <w:jc w:val="both"/>
      </w:pPr>
      <w:r w:rsidRPr="006D6B95">
        <w:t>Δι</w:t>
      </w:r>
      <w:r w:rsidR="00E52C2A">
        <w:t>καίωμα συμμετοχής στη διαδικασία</w:t>
      </w:r>
      <w:r w:rsidRPr="006D6B95">
        <w:t xml:space="preserve"> έχουν εταιρείες ή φυσικά πρόσωπα που αποδεδειγμένα ασχολούνται με τη μίσθωση ή προμήθεια ή ενοικίαση αντίστοιχων παιχνιδιών.</w:t>
      </w:r>
    </w:p>
    <w:p w:rsidR="00A86504" w:rsidRPr="006D6B95" w:rsidRDefault="00786E87" w:rsidP="00786E87">
      <w:pPr>
        <w:tabs>
          <w:tab w:val="left" w:pos="2490"/>
        </w:tabs>
        <w:jc w:val="center"/>
        <w:rPr>
          <w:b/>
        </w:rPr>
      </w:pPr>
      <w:r w:rsidRPr="006D6B95">
        <w:rPr>
          <w:b/>
        </w:rPr>
        <w:lastRenderedPageBreak/>
        <w:t>Π</w:t>
      </w:r>
      <w:r w:rsidR="00A86504" w:rsidRPr="006D6B95">
        <w:rPr>
          <w:b/>
        </w:rPr>
        <w:t>ΕΡΙΒΑΛΛΟΝ ΤΟΥ ΕΡΓΟΥ</w:t>
      </w:r>
      <w:r w:rsidR="00E52C2A">
        <w:rPr>
          <w:b/>
        </w:rPr>
        <w:t xml:space="preserve"> </w:t>
      </w:r>
      <w:r w:rsidR="00A86504" w:rsidRPr="006D6B95">
        <w:rPr>
          <w:b/>
        </w:rPr>
        <w:t>-</w:t>
      </w:r>
      <w:r w:rsidR="00E52C2A">
        <w:rPr>
          <w:b/>
        </w:rPr>
        <w:t xml:space="preserve"> </w:t>
      </w:r>
      <w:r w:rsidR="00A86504" w:rsidRPr="006D6B95">
        <w:rPr>
          <w:b/>
        </w:rPr>
        <w:t xml:space="preserve">ΣΚΟΠΟΣ </w:t>
      </w:r>
      <w:r w:rsidR="00E52C2A">
        <w:rPr>
          <w:b/>
        </w:rPr>
        <w:t xml:space="preserve"> </w:t>
      </w:r>
      <w:r w:rsidR="00A86504" w:rsidRPr="006D6B95">
        <w:rPr>
          <w:b/>
        </w:rPr>
        <w:t>–</w:t>
      </w:r>
      <w:r w:rsidR="00E52C2A">
        <w:rPr>
          <w:b/>
        </w:rPr>
        <w:t xml:space="preserve"> </w:t>
      </w:r>
      <w:r w:rsidR="00A86504" w:rsidRPr="006D6B95">
        <w:rPr>
          <w:b/>
        </w:rPr>
        <w:t>ΑΝΤΙΚΕΙΜΕΝΟ ΤΟΥ ΕΡΓΟΥ</w:t>
      </w:r>
    </w:p>
    <w:p w:rsidR="00CE5DAB" w:rsidRPr="006D6B95" w:rsidRDefault="00CE5DAB" w:rsidP="00786E87">
      <w:pPr>
        <w:jc w:val="both"/>
      </w:pPr>
      <w:r w:rsidRPr="006D6B95">
        <w:t xml:space="preserve">Ο Δήμος Ξάνθης στα πλαίσια των ετησίων εκδηλώσεων για τις Γιορτές Χριστουγέννων-Πρωτοχρονιάς, προτίθεται να </w:t>
      </w:r>
      <w:r w:rsidR="00F63FD9" w:rsidRPr="006D6B95">
        <w:t>μισθώσει</w:t>
      </w:r>
      <w:r w:rsidRPr="006D6B95">
        <w:t xml:space="preserve">  Χριστουγεννιάτικα  Παιχνίδια για τους κατοίκους και του</w:t>
      </w:r>
      <w:r w:rsidR="00A80F15" w:rsidRPr="006D6B95">
        <w:t>ς</w:t>
      </w:r>
      <w:r w:rsidRPr="006D6B95">
        <w:t xml:space="preserve"> επισκέπτες της πόλη</w:t>
      </w:r>
      <w:r w:rsidR="005B5E47">
        <w:t xml:space="preserve">ς από  20 Δεκεμβρίου 2018 έως </w:t>
      </w:r>
      <w:r w:rsidR="005B5E47" w:rsidRPr="005B5E47">
        <w:t>8</w:t>
      </w:r>
      <w:r w:rsidRPr="006D6B95">
        <w:t xml:space="preserve"> Ιανουαρίου 2019. Σκοπός αυτής της μίσθωσης αυτής είναι η διασκέδαση των Δημοτών και των επισκεπτών και η άνοδος </w:t>
      </w:r>
      <w:r w:rsidR="00FD0F39" w:rsidRPr="006D6B95">
        <w:t>της επιχειρηματικής και εμπορικής δραστηριότητας της πόλης. Η τοποθέτηση των παιχνιδιών θα πραγματοποιηθεί</w:t>
      </w:r>
      <w:r w:rsidR="00966976" w:rsidRPr="006D6B95">
        <w:t xml:space="preserve"> στην περιοχή άνωθεν του Δημοτικού Παρκινγκ </w:t>
      </w:r>
      <w:proofErr w:type="spellStart"/>
      <w:r w:rsidR="00966976" w:rsidRPr="006D6B95">
        <w:t>εως</w:t>
      </w:r>
      <w:proofErr w:type="spellEnd"/>
      <w:r w:rsidR="00966976" w:rsidRPr="006D6B95">
        <w:t xml:space="preserve"> την οδό Μ. </w:t>
      </w:r>
      <w:bookmarkStart w:id="0" w:name="_GoBack"/>
      <w:bookmarkEnd w:id="0"/>
      <w:r w:rsidR="00966976" w:rsidRPr="006D6B95">
        <w:t>Βόγδου ανατολικά του Ιερού Ναού Της Του Θεού Σοφίας.</w:t>
      </w:r>
      <w:r w:rsidR="00FD0F39" w:rsidRPr="006D6B95">
        <w:t xml:space="preserve"> </w:t>
      </w:r>
    </w:p>
    <w:p w:rsidR="00A86504" w:rsidRPr="006D6B95" w:rsidRDefault="00FD0F39" w:rsidP="00786E87">
      <w:pPr>
        <w:jc w:val="center"/>
        <w:rPr>
          <w:b/>
        </w:rPr>
      </w:pPr>
      <w:r w:rsidRPr="006D6B95">
        <w:rPr>
          <w:b/>
        </w:rPr>
        <w:t>ΟΡΓΑΝΩΣΗ &amp; ΕΠΟΠΕΙΑ ΤΗΣ ΜΙΣΘΩΣΗΣ</w:t>
      </w:r>
    </w:p>
    <w:p w:rsidR="00DC3E7B" w:rsidRPr="006D6B95" w:rsidRDefault="00FD0F39" w:rsidP="00E52C2A">
      <w:pPr>
        <w:jc w:val="both"/>
      </w:pPr>
      <w:r w:rsidRPr="006D6B95">
        <w:t>Η  Μίσθωση</w:t>
      </w:r>
      <w:r w:rsidR="00E52C2A">
        <w:t xml:space="preserve"> </w:t>
      </w:r>
      <w:r w:rsidRPr="006D6B95">
        <w:t>- Ενοικίαση των παιχνιδιών, οργανώνεται και τελεί υπό την εποπτεία του Γραφείου Τουρισμού –</w:t>
      </w:r>
      <w:r w:rsidR="00786E87" w:rsidRPr="006D6B95">
        <w:t xml:space="preserve"> </w:t>
      </w:r>
      <w:r w:rsidRPr="006D6B95">
        <w:t>Πολιτισμού του Δήμου Ξάνθης</w:t>
      </w:r>
      <w:r w:rsidR="00964E7F" w:rsidRPr="006D6B95">
        <w:t xml:space="preserve">. </w:t>
      </w:r>
    </w:p>
    <w:p w:rsidR="00FD0F39" w:rsidRPr="006D6B95" w:rsidRDefault="00964E7F" w:rsidP="00E52C2A">
      <w:pPr>
        <w:jc w:val="both"/>
      </w:pPr>
      <w:r w:rsidRPr="006D6B95">
        <w:t>Ο Δήμος Ξάνθης σε συνεργασία με το Κέντρο Πολιτισμού Δήμου Ξάνθης θα προωθήσει την ενημέρωσ</w:t>
      </w:r>
      <w:r w:rsidR="00E52C2A">
        <w:t>η  των δημοτών και επισκεπτών</w:t>
      </w:r>
      <w:r w:rsidRPr="006D6B95">
        <w:t>,</w:t>
      </w:r>
      <w:r w:rsidR="00E52C2A">
        <w:t xml:space="preserve"> </w:t>
      </w:r>
      <w:r w:rsidRPr="006D6B95">
        <w:t xml:space="preserve">θα τηρεί την καθαριότητα του χώρου και θα παρέχει ρεύμα για την λειτουργία των παιχνιδιών.                                                                                                                                        </w:t>
      </w:r>
    </w:p>
    <w:p w:rsidR="00A07FE9" w:rsidRPr="006D6B95" w:rsidRDefault="00964E7F" w:rsidP="00786E87">
      <w:pPr>
        <w:jc w:val="both"/>
      </w:pPr>
      <w:r w:rsidRPr="006D6B95">
        <w:t xml:space="preserve">Στη </w:t>
      </w:r>
      <w:r w:rsidR="00E52C2A">
        <w:t>συνέχεια θα βρίσκεται σε συνεχή</w:t>
      </w:r>
      <w:r w:rsidRPr="006D6B95">
        <w:t xml:space="preserve"> συνεργασία με τον ανάδοχο με στόχο, αφενός να προσφέρει </w:t>
      </w:r>
      <w:r w:rsidR="00E52C2A">
        <w:t>στήριξη  και αφετέρου</w:t>
      </w:r>
      <w:r w:rsidR="00A07FE9" w:rsidRPr="006D6B95">
        <w:t xml:space="preserve"> εποπτεία για την διασφάλιση της ομαλής λειτουργίας του προγράμματος και την υψηλή ποιότητα  των παρεχόμενων υπηρεσιών.</w:t>
      </w:r>
    </w:p>
    <w:p w:rsidR="00A07FE9" w:rsidRPr="006D6B95" w:rsidRDefault="00A07FE9" w:rsidP="00ED4A9A">
      <w:pPr>
        <w:jc w:val="center"/>
        <w:rPr>
          <w:b/>
        </w:rPr>
      </w:pPr>
      <w:r w:rsidRPr="006D6B95">
        <w:rPr>
          <w:b/>
        </w:rPr>
        <w:t>ΔΙΑΡΚΕΙΑ ΚΑΙ ΩΡΕΣ ΛΕΙΤΟΥΡΓΙΑΣ</w:t>
      </w:r>
    </w:p>
    <w:p w:rsidR="00964E7F" w:rsidRPr="006D6B95" w:rsidRDefault="00A07FE9" w:rsidP="00786E87">
      <w:pPr>
        <w:jc w:val="both"/>
      </w:pPr>
      <w:r w:rsidRPr="006D6B95">
        <w:t>Διάρ</w:t>
      </w:r>
      <w:r w:rsidR="002D0917" w:rsidRPr="006D6B95">
        <w:t>κεια εφαρμογής της μίσθωσης ορίζεται από την</w:t>
      </w:r>
      <w:r w:rsidR="00786E87" w:rsidRPr="006D6B95">
        <w:t xml:space="preserve"> 20-12-2018 </w:t>
      </w:r>
      <w:r w:rsidR="002D0917" w:rsidRPr="006D6B95">
        <w:t xml:space="preserve"> έως την</w:t>
      </w:r>
      <w:r w:rsidR="00BA457A">
        <w:t xml:space="preserve"> 08η</w:t>
      </w:r>
      <w:r w:rsidR="00786E87" w:rsidRPr="006D6B95">
        <w:t>-01-2019</w:t>
      </w:r>
      <w:r w:rsidR="00E52C2A">
        <w:t>.</w:t>
      </w:r>
      <w:r w:rsidR="002D0917" w:rsidRPr="006D6B95">
        <w:t xml:space="preserve"> </w:t>
      </w:r>
    </w:p>
    <w:p w:rsidR="002D0917" w:rsidRPr="006D6B95" w:rsidRDefault="002D0917" w:rsidP="00786E87">
      <w:pPr>
        <w:jc w:val="both"/>
      </w:pPr>
      <w:r w:rsidRPr="006D6B95">
        <w:t xml:space="preserve">Ημερομηνία λήξης του Προγράμματος συνολικά ορίζεται </w:t>
      </w:r>
      <w:r w:rsidR="005E55A5">
        <w:t>η 8η</w:t>
      </w:r>
      <w:r w:rsidR="00786E87" w:rsidRPr="006D6B95">
        <w:t xml:space="preserve"> Ιανουαρίου 2019</w:t>
      </w:r>
      <w:r w:rsidR="00E52C2A">
        <w:t>.</w:t>
      </w:r>
      <w:r w:rsidRPr="006D6B95">
        <w:t xml:space="preserve"> </w:t>
      </w:r>
    </w:p>
    <w:p w:rsidR="002D0917" w:rsidRPr="006D6B95" w:rsidRDefault="002D0917" w:rsidP="00786E87">
      <w:pPr>
        <w:jc w:val="both"/>
      </w:pPr>
      <w:r w:rsidRPr="006D6B95">
        <w:t xml:space="preserve">Το παιχνίδι θα λειτουργεί με προσωπικό και ευθύνη του ανάδοχου κατά τις ημέρες Δευτέρα έως Παρασκευή από </w:t>
      </w:r>
      <w:r w:rsidR="007F26CA">
        <w:t>τις 10:00-14:00 και 17:00-21:00</w:t>
      </w:r>
      <w:r w:rsidRPr="006D6B95">
        <w:t>,</w:t>
      </w:r>
      <w:r w:rsidR="007F26CA">
        <w:t xml:space="preserve"> </w:t>
      </w:r>
      <w:r w:rsidRPr="006D6B95">
        <w:t>τα Σαββατοκύριακα από τις 11:00-21:00,ενώ συγκεκριμένα στις 25 Δεκέ</w:t>
      </w:r>
      <w:r w:rsidR="009E4316" w:rsidRPr="006D6B95">
        <w:t>μ</w:t>
      </w:r>
      <w:r w:rsidRPr="006D6B95">
        <w:t>βρη 2018</w:t>
      </w:r>
      <w:r w:rsidR="007F26CA">
        <w:t xml:space="preserve"> </w:t>
      </w:r>
      <w:r w:rsidRPr="006D6B95">
        <w:t>και 1 Ιανο</w:t>
      </w:r>
      <w:r w:rsidR="007F26CA">
        <w:t>υαρίου 2019 από τις 16:00-21:00</w:t>
      </w:r>
      <w:r w:rsidRPr="006D6B95">
        <w:t xml:space="preserve">. Ο ανάδοχος υποχρεούται να τηρεί το ανωτέρω ωράριο.  </w:t>
      </w:r>
    </w:p>
    <w:p w:rsidR="002D0917" w:rsidRPr="006D6B95" w:rsidRDefault="002D0917" w:rsidP="00786E87">
      <w:pPr>
        <w:jc w:val="both"/>
      </w:pPr>
      <w:r w:rsidRPr="006D6B95">
        <w:t xml:space="preserve">Η συνολική διάρκεια </w:t>
      </w:r>
      <w:r w:rsidR="00C95BF3" w:rsidRPr="006D6B95">
        <w:t>της</w:t>
      </w:r>
      <w:r w:rsidRPr="006D6B95">
        <w:t xml:space="preserve"> μίσθωσης ανέρχεται στις </w:t>
      </w:r>
      <w:r w:rsidR="00786E87" w:rsidRPr="006D6B95">
        <w:t xml:space="preserve">20 </w:t>
      </w:r>
      <w:r w:rsidRPr="006D6B95">
        <w:t>ημέρες.</w:t>
      </w:r>
      <w:r w:rsidR="00C95BF3" w:rsidRPr="006D6B95">
        <w:t xml:space="preserve"> </w:t>
      </w:r>
      <w:r w:rsidR="00FD4195">
        <w:t>Σε περίπτωση λειτουργίας του παιχνιδιού για μικρότερο χρονικό διάστημα θα υπάρξει αντίστοιχη μείωση της αμοιβής του αναδόχου.</w:t>
      </w:r>
    </w:p>
    <w:p w:rsidR="00C95BF3" w:rsidRPr="006D6B95" w:rsidRDefault="00C95BF3" w:rsidP="00D33D4B">
      <w:pPr>
        <w:jc w:val="center"/>
        <w:rPr>
          <w:b/>
        </w:rPr>
      </w:pPr>
      <w:r w:rsidRPr="006D6B95">
        <w:rPr>
          <w:b/>
        </w:rPr>
        <w:t>ΠΕΡΙΕΧΟΜΕΝΟ – ΠΡΟΔΙΑΓΡΑΦΕΣ</w:t>
      </w:r>
      <w:r w:rsidR="00786E87" w:rsidRPr="006D6B95">
        <w:rPr>
          <w:b/>
        </w:rPr>
        <w:t xml:space="preserve"> </w:t>
      </w:r>
      <w:r w:rsidRPr="006D6B95">
        <w:rPr>
          <w:b/>
        </w:rPr>
        <w:t>ΠΑΙΧΝΙΔΙΩΝ</w:t>
      </w:r>
    </w:p>
    <w:p w:rsidR="00C95BF3" w:rsidRPr="006D6B95" w:rsidRDefault="00C95BF3" w:rsidP="00786E87">
      <w:pPr>
        <w:jc w:val="both"/>
      </w:pPr>
      <w:r w:rsidRPr="006D6B95">
        <w:t>Το παιχνίδι που πρ</w:t>
      </w:r>
      <w:r w:rsidR="00A80F15" w:rsidRPr="006D6B95">
        <w:t>οτιθέμεθα να μισθώσουμε είναι το</w:t>
      </w:r>
      <w:r w:rsidRPr="006D6B95">
        <w:t xml:space="preserve"> εξής: </w:t>
      </w:r>
    </w:p>
    <w:p w:rsidR="00C95BF3" w:rsidRPr="006D6B95" w:rsidRDefault="00C95BF3" w:rsidP="00786E87">
      <w:pPr>
        <w:jc w:val="both"/>
      </w:pPr>
      <w:r w:rsidRPr="006D6B95">
        <w:t xml:space="preserve">καρουζέλ θεματικού Χριστουγεννιάτικου διακόσμου </w:t>
      </w:r>
      <w:r w:rsidR="00A23A49">
        <w:t>τουλάχιστον 24</w:t>
      </w:r>
      <w:r w:rsidRPr="006D6B95">
        <w:t xml:space="preserve"> θέσεων </w:t>
      </w:r>
    </w:p>
    <w:p w:rsidR="00C95BF3" w:rsidRPr="006D6B95" w:rsidRDefault="00C95BF3" w:rsidP="006D6B95">
      <w:pPr>
        <w:jc w:val="both"/>
      </w:pPr>
      <w:r w:rsidRPr="006D6B95">
        <w:t>με συνολικό προϋπολογισμό δαπάνης 17</w:t>
      </w:r>
      <w:r w:rsidR="00786E87" w:rsidRPr="006D6B95">
        <w:t xml:space="preserve">. </w:t>
      </w:r>
      <w:r w:rsidRPr="006D6B95">
        <w:t>980,00 € συμπεριλαμβανομένου του Φ.Π.Α 24% . Σε περίπτωση που ο ανάδοχος επιθυμεί να παρέχει παιχνίδια περισσότερων θέσεων</w:t>
      </w:r>
      <w:r w:rsidR="00722697">
        <w:t>,</w:t>
      </w:r>
      <w:r w:rsidRPr="006D6B95">
        <w:t xml:space="preserve"> η προσφορά του δεν δύναται να υπερβαίνει τον προϋπολογισμό της δαπάνης.</w:t>
      </w:r>
      <w:r w:rsidRPr="006D6B95">
        <w:tab/>
      </w:r>
    </w:p>
    <w:p w:rsidR="00722697" w:rsidRDefault="00C95BF3" w:rsidP="00786E87">
      <w:pPr>
        <w:jc w:val="both"/>
      </w:pPr>
      <w:r w:rsidRPr="006D6B95">
        <w:t xml:space="preserve">Η μίσθωση θα πρέπει να περιλαμβάνει τις εξής ενότητες: </w:t>
      </w:r>
    </w:p>
    <w:p w:rsidR="00C95BF3" w:rsidRDefault="00722697" w:rsidP="00722697">
      <w:pPr>
        <w:pStyle w:val="a4"/>
        <w:numPr>
          <w:ilvl w:val="0"/>
          <w:numId w:val="7"/>
        </w:numPr>
        <w:jc w:val="both"/>
      </w:pPr>
      <w:r w:rsidRPr="006D6B95">
        <w:t>Να διαθέτει όλα τα απαιτούμενα δικαιολογητικά για την έκδοση άδειας εγκατάστασης ψυχαγωγικών παιχνιδιών σε κοινόχρηστο χώρο (πχ. Βεβαιώσεις διπλωματούχων μηχανικών)</w:t>
      </w:r>
      <w:r>
        <w:t>, ώστε να υποβάλει αίτηση και να αποκτήσει άδεια εγκατάστασης ψυχαγωγικών παιδειών σε κοινόχρηστο χώρο,  από το αρμόδιο Τμήμα του Δήμου Ξάνθης.</w:t>
      </w:r>
      <w:r w:rsidR="00C95BF3" w:rsidRPr="006D6B95">
        <w:t xml:space="preserve"> </w:t>
      </w:r>
    </w:p>
    <w:p w:rsidR="00C95BF3" w:rsidRDefault="00722697" w:rsidP="00722697">
      <w:pPr>
        <w:pStyle w:val="a4"/>
        <w:numPr>
          <w:ilvl w:val="0"/>
          <w:numId w:val="7"/>
        </w:numPr>
        <w:jc w:val="both"/>
      </w:pPr>
      <w:r>
        <w:lastRenderedPageBreak/>
        <w:t>Έγκαιρη μεταφορά και ασφαλής τοποθέτηση</w:t>
      </w:r>
      <w:r w:rsidR="00384C65" w:rsidRPr="006D6B95">
        <w:t xml:space="preserve"> από την προηγούμενη ημέρα</w:t>
      </w:r>
      <w:r w:rsidR="00786E87" w:rsidRPr="006D6B95">
        <w:t xml:space="preserve"> 19</w:t>
      </w:r>
      <w:r w:rsidR="00384C65" w:rsidRPr="006D6B95">
        <w:t xml:space="preserve"> Δεκεμβρίου 2018</w:t>
      </w:r>
      <w:r>
        <w:t>,</w:t>
      </w:r>
      <w:r w:rsidR="00384C65" w:rsidRPr="006D6B95">
        <w:t xml:space="preserve"> με δοκιμαστική λειτουργία το απόγευμα </w:t>
      </w:r>
      <w:r w:rsidR="00786E87" w:rsidRPr="006D6B95">
        <w:t xml:space="preserve">19 </w:t>
      </w:r>
      <w:r w:rsidR="00384C65" w:rsidRPr="006D6B95">
        <w:t xml:space="preserve">στις 19:00. </w:t>
      </w:r>
    </w:p>
    <w:p w:rsidR="00384C65" w:rsidRDefault="00722697" w:rsidP="00722697">
      <w:pPr>
        <w:pStyle w:val="a4"/>
        <w:numPr>
          <w:ilvl w:val="0"/>
          <w:numId w:val="7"/>
        </w:numPr>
        <w:jc w:val="both"/>
      </w:pPr>
      <w:r>
        <w:t>Συνεχής Λειτουργία με εξειδικευμένο προσωπικό. Κ</w:t>
      </w:r>
      <w:r w:rsidR="00384C65" w:rsidRPr="006D6B95">
        <w:t>ατά τις ώρες και ημέρες της λειτουργίας θα πρέπει να υπάρχει εκπαιδευμένο προσωπικό του ανάδοχου προκειμένου να λειτουργεί και να συντηρεί τα μηχανήματα</w:t>
      </w:r>
      <w:r>
        <w:t>,</w:t>
      </w:r>
      <w:r w:rsidR="00384C65" w:rsidRPr="006D6B95">
        <w:t xml:space="preserve"> σύμφωνα με τις προκ</w:t>
      </w:r>
      <w:r w:rsidR="00897CC1" w:rsidRPr="006D6B95">
        <w:t>αθορισμένες ώρες της προηγούμενη</w:t>
      </w:r>
      <w:r w:rsidR="00384C65" w:rsidRPr="006D6B95">
        <w:t>ς παραγράφ</w:t>
      </w:r>
      <w:r w:rsidR="005B5E47">
        <w:t>ου περί διεξαγωγής της μίσθωσης</w:t>
      </w:r>
      <w:r w:rsidR="005B5E47" w:rsidRPr="005B5E47">
        <w:t>,</w:t>
      </w:r>
      <w:r w:rsidR="005B5E47">
        <w:t xml:space="preserve"> καθώς και να εξυπηρετεί το κοινό.</w:t>
      </w:r>
      <w:r w:rsidR="00384C65" w:rsidRPr="006D6B95">
        <w:t xml:space="preserve"> </w:t>
      </w:r>
    </w:p>
    <w:p w:rsidR="00722697" w:rsidRDefault="00384C65" w:rsidP="00722697">
      <w:pPr>
        <w:pStyle w:val="a4"/>
        <w:numPr>
          <w:ilvl w:val="0"/>
          <w:numId w:val="7"/>
        </w:numPr>
        <w:jc w:val="both"/>
      </w:pPr>
      <w:r w:rsidRPr="006D6B95">
        <w:t>Ασφάλε</w:t>
      </w:r>
      <w:r w:rsidR="00722697">
        <w:t>ια αστικής ευθύνης υπέρ τρίτων κ</w:t>
      </w:r>
      <w:r w:rsidRPr="006D6B95">
        <w:t>ατά το χρονικό διάστημα λειτ</w:t>
      </w:r>
      <w:r w:rsidR="00722697">
        <w:t>ουργίας των παιχνιδιών μίσθωσης</w:t>
      </w:r>
      <w:r w:rsidRPr="006D6B95">
        <w:t>.</w:t>
      </w:r>
    </w:p>
    <w:p w:rsidR="00722697" w:rsidRDefault="00384C65" w:rsidP="00722697">
      <w:pPr>
        <w:pStyle w:val="a4"/>
        <w:numPr>
          <w:ilvl w:val="0"/>
          <w:numId w:val="7"/>
        </w:numPr>
        <w:jc w:val="both"/>
      </w:pPr>
      <w:r w:rsidRPr="006D6B95">
        <w:t xml:space="preserve"> Φύλαξη του χώρου και των παιχνιδιών κατά τις ώρες μη λειτουργίας. </w:t>
      </w:r>
    </w:p>
    <w:p w:rsidR="00384C65" w:rsidRPr="006D6B95" w:rsidRDefault="00552D88" w:rsidP="00722697">
      <w:pPr>
        <w:pStyle w:val="a4"/>
        <w:numPr>
          <w:ilvl w:val="0"/>
          <w:numId w:val="7"/>
        </w:numPr>
        <w:jc w:val="both"/>
      </w:pPr>
      <w:r w:rsidRPr="006D6B95">
        <w:t xml:space="preserve"> </w:t>
      </w:r>
      <w:r w:rsidR="00384C65" w:rsidRPr="006D6B95">
        <w:t xml:space="preserve">Για την χρήση των </w:t>
      </w:r>
      <w:r w:rsidRPr="006D6B95">
        <w:t>παιχνιδιών</w:t>
      </w:r>
      <w:r w:rsidR="00384C65" w:rsidRPr="006D6B95">
        <w:t xml:space="preserve"> , δεν θα </w:t>
      </w:r>
      <w:r w:rsidRPr="006D6B95">
        <w:t>καταβάλλεται</w:t>
      </w:r>
      <w:r w:rsidR="00384C65" w:rsidRPr="006D6B95">
        <w:t xml:space="preserve"> κανένα αντίτιμο</w:t>
      </w:r>
      <w:r w:rsidRPr="006D6B95">
        <w:t xml:space="preserve">.   </w:t>
      </w:r>
    </w:p>
    <w:p w:rsidR="00552D88" w:rsidRPr="006D6B95" w:rsidRDefault="00552D88" w:rsidP="00786E87">
      <w:pPr>
        <w:jc w:val="center"/>
        <w:rPr>
          <w:b/>
        </w:rPr>
      </w:pPr>
      <w:r w:rsidRPr="006D6B95">
        <w:rPr>
          <w:b/>
        </w:rPr>
        <w:t>ΕΙΔΙΚΕΣ ΠΡΟΔΙΑΓΡΑΦΕΣ ΤΟΥ ΠΡΟΓΡΑΜΜΑΤΟΣ</w:t>
      </w:r>
    </w:p>
    <w:p w:rsidR="00552D88" w:rsidRPr="006D6B95" w:rsidRDefault="00552D88" w:rsidP="00786E87">
      <w:pPr>
        <w:jc w:val="both"/>
      </w:pPr>
      <w:r w:rsidRPr="006D6B95">
        <w:t xml:space="preserve">Παράλληλα επί ποινή αποκλεισμού ο ανάδοχος θα πρέπει:  </w:t>
      </w:r>
    </w:p>
    <w:p w:rsidR="009A5699" w:rsidRPr="006D6B95" w:rsidRDefault="00552D88" w:rsidP="007F26CA">
      <w:pPr>
        <w:pStyle w:val="a4"/>
        <w:numPr>
          <w:ilvl w:val="0"/>
          <w:numId w:val="5"/>
        </w:numPr>
        <w:jc w:val="both"/>
      </w:pPr>
      <w:r w:rsidRPr="006D6B95">
        <w:t xml:space="preserve">Να είναι εταιρεία ή φυσικό πρόσωπο </w:t>
      </w:r>
      <w:r w:rsidRPr="007F26CA">
        <w:rPr>
          <w:b/>
        </w:rPr>
        <w:t xml:space="preserve">με πενταετή τουλάχιστον λειτουργία και </w:t>
      </w:r>
      <w:r w:rsidR="00897CC1" w:rsidRPr="007F26CA">
        <w:rPr>
          <w:b/>
        </w:rPr>
        <w:t>εμπειρία</w:t>
      </w:r>
      <w:r w:rsidR="00897CC1" w:rsidRPr="006D6B95">
        <w:t xml:space="preserve"> σε παρόμοιες μισθώσεις</w:t>
      </w:r>
      <w:r w:rsidRPr="006D6B95">
        <w:t xml:space="preserve">. Δικαίωμα συμμετοχής στον διαγωνισμό έχουν εταιρίες ή φυσικά πρόσωπα που αποδεδειγμένα ασχολούνται με την μίσθωση και λειτουργία παιχνιδιών. Όλοι οι συμμετέχοντες στο διαγωνισμό θα πρέπει να αποδείξουν με στοιχεία (φορολογικά , επιμελητήριο κτλ.) </w:t>
      </w:r>
      <w:r w:rsidR="009A5699" w:rsidRPr="006D6B95">
        <w:t xml:space="preserve">την επαγγελματική τους αξιοπιστία και εμπειρία στην </w:t>
      </w:r>
      <w:r w:rsidR="007F26CA">
        <w:t>υλοποίηση της ανωτέρω ανάθεσης</w:t>
      </w:r>
      <w:r w:rsidR="009A5699" w:rsidRPr="006D6B95">
        <w:t xml:space="preserve">, τη χρηματοπιστωτική τους και οικονομική τους κατάσταση καθώς και τις τεχνικές τους δυνατότητες. </w:t>
      </w:r>
    </w:p>
    <w:p w:rsidR="00552D88" w:rsidRPr="006D6B95" w:rsidRDefault="009A5699" w:rsidP="00786E87">
      <w:pPr>
        <w:pStyle w:val="a4"/>
        <w:numPr>
          <w:ilvl w:val="0"/>
          <w:numId w:val="5"/>
        </w:numPr>
        <w:jc w:val="both"/>
      </w:pPr>
      <w:r w:rsidRPr="006D6B95">
        <w:t xml:space="preserve">Να προσκομίσει τις τεχνικές προδιαγραφές του κάθε παιχνιδιού καθώς επίσης να προσκομίσει πιστοποιητικό καλής και ασφαλούς λειτουργίας. </w:t>
      </w:r>
    </w:p>
    <w:p w:rsidR="009A5699" w:rsidRPr="006D6B95" w:rsidRDefault="009A5699" w:rsidP="00786E87">
      <w:pPr>
        <w:pStyle w:val="a4"/>
        <w:numPr>
          <w:ilvl w:val="0"/>
          <w:numId w:val="5"/>
        </w:numPr>
        <w:jc w:val="both"/>
      </w:pPr>
      <w:r w:rsidRPr="006D6B95">
        <w:t xml:space="preserve">Να καλύπτει οικονομικά και ασφαλιστικά όλους τους συνεργάτες που θα χρησιμοποιήσει ή τους τρίτους όπως μεταφορές , αναλώσιμα κα. </w:t>
      </w:r>
    </w:p>
    <w:p w:rsidR="009A5699" w:rsidRPr="006D6B95" w:rsidRDefault="009A5699" w:rsidP="00786E87">
      <w:pPr>
        <w:pStyle w:val="a4"/>
        <w:numPr>
          <w:ilvl w:val="0"/>
          <w:numId w:val="5"/>
        </w:numPr>
        <w:jc w:val="both"/>
      </w:pPr>
      <w:r w:rsidRPr="006D6B95">
        <w:t xml:space="preserve">Να αναλάβει την περίφραξη των παιχνιδιών με καλαίσθητο εορταστικό διάκοσμο. </w:t>
      </w:r>
    </w:p>
    <w:p w:rsidR="009A5699" w:rsidRPr="006D6B95" w:rsidRDefault="009A5699" w:rsidP="00786E87">
      <w:pPr>
        <w:pStyle w:val="a4"/>
        <w:numPr>
          <w:ilvl w:val="0"/>
          <w:numId w:val="5"/>
        </w:numPr>
        <w:jc w:val="both"/>
      </w:pPr>
      <w:r w:rsidRPr="006D6B95">
        <w:t xml:space="preserve">Να αναλάβει την αποσυναρμολόγηση και απομάκρυνση των παιχνιδιών. </w:t>
      </w:r>
    </w:p>
    <w:p w:rsidR="009A5699" w:rsidRPr="006D6B95" w:rsidRDefault="009A5699" w:rsidP="00786E87">
      <w:pPr>
        <w:ind w:left="36"/>
        <w:jc w:val="both"/>
      </w:pPr>
      <w:r w:rsidRPr="006D6B95">
        <w:t>Το συνολικό κόστος της μίσθωσης δεν δύναται να ξεπεράσει το ποσό των 17</w:t>
      </w:r>
      <w:r w:rsidR="00ED4A9A" w:rsidRPr="006D6B95">
        <w:t>.</w:t>
      </w:r>
      <w:r w:rsidRPr="006D6B95">
        <w:t xml:space="preserve">980,00 € συμπεριλαμβανομένου του Φ.Π.Α 24% και η ανάθεση θα γίνει σύμφωνα με την οικονομικότερη προσφορά. </w:t>
      </w:r>
    </w:p>
    <w:p w:rsidR="009A5699" w:rsidRPr="006D6B95" w:rsidRDefault="009A5699" w:rsidP="00786E87">
      <w:pPr>
        <w:ind w:left="36"/>
        <w:jc w:val="both"/>
      </w:pPr>
    </w:p>
    <w:p w:rsidR="00FE7F98" w:rsidRPr="006D6B95" w:rsidRDefault="009A5699" w:rsidP="00FE7F98">
      <w:pPr>
        <w:ind w:left="36"/>
        <w:jc w:val="center"/>
        <w:rPr>
          <w:b/>
          <w:sz w:val="28"/>
          <w:szCs w:val="28"/>
          <w:u w:val="single"/>
        </w:rPr>
      </w:pPr>
      <w:r w:rsidRPr="006D6B95">
        <w:rPr>
          <w:b/>
          <w:sz w:val="28"/>
          <w:szCs w:val="28"/>
          <w:u w:val="single"/>
        </w:rPr>
        <w:t>ΣΥΓΓΡΑΦΗ ΥΠΟΧΡΕΩΣΕΩΝ</w:t>
      </w:r>
    </w:p>
    <w:p w:rsidR="00552D88" w:rsidRPr="006D6B95" w:rsidRDefault="00777EAF" w:rsidP="00FE7F98">
      <w:pPr>
        <w:ind w:left="36"/>
        <w:jc w:val="both"/>
        <w:rPr>
          <w:b/>
          <w:sz w:val="28"/>
          <w:szCs w:val="28"/>
          <w:u w:val="single"/>
        </w:rPr>
      </w:pPr>
      <w:r w:rsidRPr="006D6B95">
        <w:rPr>
          <w:b/>
        </w:rPr>
        <w:t xml:space="preserve">ΑΡΘΡΟ 1 : </w:t>
      </w:r>
      <w:r w:rsidRPr="006D6B95">
        <w:rPr>
          <w:b/>
          <w:lang w:val="en-US"/>
        </w:rPr>
        <w:t>ANTIKEIMENO</w:t>
      </w:r>
      <w:r w:rsidRPr="006D6B95">
        <w:rPr>
          <w:b/>
        </w:rPr>
        <w:t xml:space="preserve"> </w:t>
      </w:r>
    </w:p>
    <w:p w:rsidR="00777EAF" w:rsidRPr="006D6B95" w:rsidRDefault="00777EAF" w:rsidP="00786E87">
      <w:pPr>
        <w:jc w:val="both"/>
      </w:pPr>
      <w:r w:rsidRPr="006D6B95">
        <w:t>Ο Δήμος Ξάνθης π</w:t>
      </w:r>
      <w:r w:rsidR="00897CC1" w:rsidRPr="006D6B95">
        <w:t>ροκηρύσσει την επιλογή αναδόχου</w:t>
      </w:r>
      <w:r w:rsidR="007F26CA">
        <w:t>, με πρόσκληση εκδήλωσης ενδιαφέροντος</w:t>
      </w:r>
      <w:r w:rsidRPr="006D6B95">
        <w:t xml:space="preserve"> για την &lt;&lt;Μίσθωση παιχνιδιού καρουζέλ&gt;&gt;, βάσει του Ν.4412/2016 και με κριτήριο την χαμηλότερη οικονομική προσφορά. Η προκυρησσόμενη σύμ</w:t>
      </w:r>
      <w:r w:rsidR="007F26CA">
        <w:t>βαση έχει προϋπολογισμό κόστους 17.980,00 €</w:t>
      </w:r>
      <w:r w:rsidRPr="006D6B95">
        <w:t>, συμπεριλαμβανομένου του Φ.Π.Α 24% και κωδικό προϋπολογισμού του Οικονομικού έτους 2018 του Δήμου Ξάνθης κ α</w:t>
      </w:r>
      <w:r w:rsidR="00786E87" w:rsidRPr="006D6B95">
        <w:t xml:space="preserve"> 02.15</w:t>
      </w:r>
      <w:r w:rsidR="00897CC1" w:rsidRPr="006D6B95">
        <w:t>.6233</w:t>
      </w:r>
      <w:r w:rsidR="007F26CA">
        <w:t>.</w:t>
      </w:r>
      <w:r w:rsidRPr="006D6B95">
        <w:t xml:space="preserve"> </w:t>
      </w:r>
    </w:p>
    <w:p w:rsidR="00777EAF" w:rsidRPr="006D6B95" w:rsidRDefault="00777EAF" w:rsidP="00786E87">
      <w:pPr>
        <w:jc w:val="both"/>
        <w:rPr>
          <w:b/>
        </w:rPr>
      </w:pPr>
      <w:r w:rsidRPr="006D6B95">
        <w:rPr>
          <w:b/>
        </w:rPr>
        <w:t xml:space="preserve">ΑΡΘΡΟ 2: ΙΣΧΥΟΥΣΕΣ ΔΙΑΤΑΞΕΙΣ </w:t>
      </w:r>
    </w:p>
    <w:p w:rsidR="00777EAF" w:rsidRPr="006D6B95" w:rsidRDefault="00897CC1" w:rsidP="00786E87">
      <w:pPr>
        <w:jc w:val="both"/>
      </w:pPr>
      <w:r w:rsidRPr="006D6B95">
        <w:t>Η ανάθεση</w:t>
      </w:r>
      <w:r w:rsidR="00305056" w:rsidRPr="006D6B95">
        <w:t xml:space="preserve"> θα διεξαχθεί σύμφωνα με την κείμενη νομοθεσία και ιδιαίτερα σύμφωνα με τις διατάξεις:</w:t>
      </w:r>
      <w:r w:rsidR="00777EAF" w:rsidRPr="006D6B95">
        <w:t xml:space="preserve">  </w:t>
      </w:r>
    </w:p>
    <w:p w:rsidR="00305056" w:rsidRPr="006D6B95" w:rsidRDefault="00305056" w:rsidP="00786E87">
      <w:pPr>
        <w:jc w:val="both"/>
      </w:pPr>
      <w:r w:rsidRPr="006D6B95">
        <w:t xml:space="preserve">Του Ν. </w:t>
      </w:r>
      <w:r w:rsidR="007F26CA">
        <w:t>4412/16 (ΦΕΚ Α’ 147/8-8-2016) «</w:t>
      </w:r>
      <w:r w:rsidRPr="006D6B95">
        <w:t>Δημόσιες Συμβάσεις Έργων, Προμηθειών και Υπηρεσιών (προσαρμογή στις οδηγ</w:t>
      </w:r>
      <w:r w:rsidR="007F26CA">
        <w:t>ίες 2014/24/ΕΕ ΚΑΙ 2014/25 ΕΕ)».</w:t>
      </w:r>
      <w:r w:rsidRPr="006D6B95">
        <w:t xml:space="preserve"> </w:t>
      </w:r>
    </w:p>
    <w:p w:rsidR="00305056" w:rsidRPr="006D6B95" w:rsidRDefault="00305056" w:rsidP="00786E87">
      <w:pPr>
        <w:jc w:val="both"/>
      </w:pPr>
      <w:r w:rsidRPr="006D6B95">
        <w:lastRenderedPageBreak/>
        <w:t>Του Ν. 401</w:t>
      </w:r>
      <w:r w:rsidR="007F26CA">
        <w:t>3/2011 (ΦΕΚ Α’ 204/15-9-2011) «</w:t>
      </w:r>
      <w:r w:rsidRPr="006D6B95">
        <w:t>Σύσταση ενιαίας Ανεξάρτητης Αρχής Δημοσίων Συμβάσεων και Κεντρικού Ηλεκτρονικ</w:t>
      </w:r>
      <w:r w:rsidR="007F26CA">
        <w:t>ού Μητρώου Δημοσίων Συμβάσεων».</w:t>
      </w:r>
    </w:p>
    <w:p w:rsidR="00305056" w:rsidRPr="006D6B95" w:rsidRDefault="00CC4C00" w:rsidP="00786E87">
      <w:pPr>
        <w:jc w:val="both"/>
      </w:pPr>
      <w:r w:rsidRPr="006D6B95">
        <w:t>Του Ν.34</w:t>
      </w:r>
      <w:r w:rsidR="007F26CA">
        <w:t>63/2006 (ΦΕΚ Α’ 114/8-6-2006) «</w:t>
      </w:r>
      <w:r w:rsidRPr="006D6B95">
        <w:t>Κύρωση το</w:t>
      </w:r>
      <w:r w:rsidR="007F26CA">
        <w:t>υ Κώδικα Δήμων και Κοινοτήτων».</w:t>
      </w:r>
    </w:p>
    <w:p w:rsidR="00CC4C00" w:rsidRPr="006D6B95" w:rsidRDefault="00CC4C00" w:rsidP="00786E87">
      <w:pPr>
        <w:jc w:val="both"/>
      </w:pPr>
      <w:r w:rsidRPr="006D6B95">
        <w:t>Του Ν.3852/2010 (ΦΕΚ Α’ 87/7</w:t>
      </w:r>
      <w:r w:rsidR="007F26CA">
        <w:t>-6-2010) «</w:t>
      </w:r>
      <w:r w:rsidR="00F63FD9" w:rsidRPr="006D6B95">
        <w:t>Νέα Αρχιτεκτονική της Αυτοδιοίκησης και της Αποκεντρωμένης Διο</w:t>
      </w:r>
      <w:r w:rsidR="007F26CA">
        <w:t>ίκησης-Πρόγραμμα Καλλικράτης».</w:t>
      </w:r>
    </w:p>
    <w:p w:rsidR="00F63FD9" w:rsidRPr="006D6B95" w:rsidRDefault="00F63FD9" w:rsidP="00786E87">
      <w:pPr>
        <w:jc w:val="both"/>
      </w:pPr>
      <w:r w:rsidRPr="006D6B95">
        <w:t>Του Ν</w:t>
      </w:r>
      <w:r w:rsidR="007F26CA">
        <w:t>.</w:t>
      </w:r>
      <w:r w:rsidRPr="006D6B95">
        <w:t>3886/10</w:t>
      </w:r>
      <w:r w:rsidR="007F26CA">
        <w:t xml:space="preserve"> </w:t>
      </w:r>
      <w:r w:rsidRPr="006D6B95">
        <w:t xml:space="preserve">(ΦΕΚ Α΄173) </w:t>
      </w:r>
      <w:r w:rsidR="007F26CA">
        <w:t xml:space="preserve"> «</w:t>
      </w:r>
      <w:r w:rsidRPr="006D6B95">
        <w:t xml:space="preserve">Δικαστική προστασία κατά </w:t>
      </w:r>
      <w:r w:rsidR="007F26CA">
        <w:t>την σύναψη Δημοσίων Συμβάσεων»</w:t>
      </w:r>
    </w:p>
    <w:p w:rsidR="00CC4C00" w:rsidRPr="006D6B95" w:rsidRDefault="00CC4C00" w:rsidP="00786E87">
      <w:pPr>
        <w:jc w:val="both"/>
        <w:rPr>
          <w:b/>
        </w:rPr>
      </w:pPr>
      <w:r w:rsidRPr="006D6B95">
        <w:rPr>
          <w:b/>
        </w:rPr>
        <w:t xml:space="preserve">ΑΡΘΡΟ 3: ΣΕΙΡΑ ΙΣΧΥΟΣ ΤΕΥΧΩΝ </w:t>
      </w:r>
    </w:p>
    <w:p w:rsidR="00CC4C00" w:rsidRPr="006D6B95" w:rsidRDefault="00CC4C00" w:rsidP="00786E87">
      <w:pPr>
        <w:jc w:val="both"/>
      </w:pPr>
      <w:r w:rsidRPr="006D6B95">
        <w:t>Τα τεύχη δημ</w:t>
      </w:r>
      <w:r w:rsidR="00897CC1" w:rsidRPr="006D6B95">
        <w:t>οπρατήσεως αλληλοσυμπληρώνονται</w:t>
      </w:r>
      <w:r w:rsidRPr="006D6B95">
        <w:t>, εν περιπτώσει δε ασυμφωνίας μεταξύ</w:t>
      </w:r>
      <w:r w:rsidR="00FE7F98" w:rsidRPr="006D6B95">
        <w:t xml:space="preserve"> των περιεχομένων εις αυτά όρων</w:t>
      </w:r>
      <w:r w:rsidRPr="006D6B95">
        <w:t xml:space="preserve">, η σειρά ισχύος των ως άνω τευχών καθορίζεται ως κατώθι: </w:t>
      </w:r>
    </w:p>
    <w:p w:rsidR="00CC4C00" w:rsidRPr="006D6B95" w:rsidRDefault="00897CC1" w:rsidP="00786E87">
      <w:pPr>
        <w:jc w:val="both"/>
      </w:pPr>
      <w:r w:rsidRPr="006D6B95">
        <w:t xml:space="preserve">Πρόσκληση εκδήλωσης ενδιαφέροντος </w:t>
      </w:r>
      <w:r w:rsidR="00CC4C00" w:rsidRPr="006D6B95">
        <w:t xml:space="preserve"> μίσθωσης και προμήθειας υπηρεσιών με απευθείας ανάθεση</w:t>
      </w:r>
      <w:r w:rsidR="00FE7F98" w:rsidRPr="006D6B95">
        <w:t>.</w:t>
      </w:r>
      <w:r w:rsidR="00CC4C00" w:rsidRPr="006D6B95">
        <w:t xml:space="preserve">   </w:t>
      </w:r>
    </w:p>
    <w:p w:rsidR="00CC4C00" w:rsidRPr="006D6B95" w:rsidRDefault="00FE7F98" w:rsidP="00786E87">
      <w:pPr>
        <w:jc w:val="both"/>
      </w:pPr>
      <w:r w:rsidRPr="006D6B95">
        <w:t>Τεχνική Έκθεση</w:t>
      </w:r>
      <w:r w:rsidR="00CC4C00" w:rsidRPr="006D6B95">
        <w:t xml:space="preserve"> </w:t>
      </w:r>
    </w:p>
    <w:p w:rsidR="00CC4C00" w:rsidRPr="006D6B95" w:rsidRDefault="007F26CA" w:rsidP="00786E87">
      <w:pPr>
        <w:jc w:val="both"/>
      </w:pPr>
      <w:r>
        <w:t>Συγγραφή Υποχρεώσεων</w:t>
      </w:r>
    </w:p>
    <w:p w:rsidR="002D6FA4" w:rsidRPr="006D6B95" w:rsidRDefault="002D6FA4" w:rsidP="00786E87">
      <w:pPr>
        <w:jc w:val="both"/>
        <w:rPr>
          <w:b/>
        </w:rPr>
      </w:pPr>
      <w:r w:rsidRPr="006D6B95">
        <w:rPr>
          <w:b/>
        </w:rPr>
        <w:t xml:space="preserve">ΑΡΘΡΟ 4: ΠΡΟΥΠΟΛΟΓΙΣΜΟΣ </w:t>
      </w:r>
    </w:p>
    <w:p w:rsidR="002D6FA4" w:rsidRPr="006D6B95" w:rsidRDefault="002D6FA4" w:rsidP="00786E87">
      <w:pPr>
        <w:jc w:val="both"/>
      </w:pPr>
      <w:r w:rsidRPr="006D6B95">
        <w:t>Η προκυρησσόμενη σύμβασ</w:t>
      </w:r>
      <w:r w:rsidR="00FE7F98" w:rsidRPr="006D6B95">
        <w:t>η έχει προϋπολογισμό 17.980,00 €</w:t>
      </w:r>
      <w:r w:rsidRPr="006D6B95">
        <w:t xml:space="preserve">, συμπεριλαμβανομένου του ΦΠΑ 24%. Η χρηματοδότηση προέρχεται από ίδιους πόρους του Δήμου Ξάνθης. </w:t>
      </w:r>
    </w:p>
    <w:p w:rsidR="002D6FA4" w:rsidRPr="006D6B95" w:rsidRDefault="002D6FA4" w:rsidP="00786E87">
      <w:pPr>
        <w:jc w:val="both"/>
        <w:rPr>
          <w:b/>
        </w:rPr>
      </w:pPr>
      <w:r w:rsidRPr="006D6B95">
        <w:rPr>
          <w:b/>
        </w:rPr>
        <w:t xml:space="preserve">ΑΡΘΡΟ 5: ΕΓΓΥΗΣΕΙΣ </w:t>
      </w:r>
    </w:p>
    <w:p w:rsidR="002D6FA4" w:rsidRPr="006D6B95" w:rsidRDefault="002D6FA4" w:rsidP="00786E87">
      <w:pPr>
        <w:jc w:val="both"/>
      </w:pPr>
      <w:r w:rsidRPr="006D6B95">
        <w:t xml:space="preserve">Κάθε προσφορά των συμμετεχόντων στον διαγωνισμό δεν υποχρεούται να συνοδεύεται </w:t>
      </w:r>
      <w:r w:rsidR="00FE7F98" w:rsidRPr="006D6B95">
        <w:t>από εγγυητική επιστολή</w:t>
      </w:r>
      <w:r w:rsidR="00D513A9" w:rsidRPr="006D6B95">
        <w:t xml:space="preserve"> </w:t>
      </w:r>
      <w:r w:rsidR="00FE7F98" w:rsidRPr="006D6B95">
        <w:t>συμμετοχής</w:t>
      </w:r>
      <w:r w:rsidRPr="006D6B95">
        <w:t>, ωστόσο ο ανάδοχ</w:t>
      </w:r>
      <w:r w:rsidR="00FE7F98" w:rsidRPr="006D6B95">
        <w:t>ος μετά το πέρας της διαδικασίας υποβολής προσφορών</w:t>
      </w:r>
      <w:r w:rsidRPr="006D6B95">
        <w:t xml:space="preserve"> και </w:t>
      </w:r>
      <w:r w:rsidR="00FE7F98" w:rsidRPr="006D6B95">
        <w:t>μ</w:t>
      </w:r>
      <w:r w:rsidRPr="006D6B95">
        <w:t xml:space="preserve">ε την υπογραφή της σύμβασης θα πρέπει να καταθέσει εγγύηση καλής εκτέλεσης των όρων της Σύμβασης, που ανέρχεται στο 5% του συμβατικού ποσού (δηλαδή του προσφερόμενου ποσού) της μίσθωσης. </w:t>
      </w:r>
    </w:p>
    <w:p w:rsidR="002D6FA4" w:rsidRPr="006D6B95" w:rsidRDefault="002D6FA4" w:rsidP="00786E87">
      <w:pPr>
        <w:jc w:val="both"/>
      </w:pPr>
      <w:r w:rsidRPr="006D6B95">
        <w:t xml:space="preserve">Τα  έγγραφα των εγγυήσεων που δεν είναι διατυπωμένα στην Ελληνική συνοδεύονται από μετάφραση του ίδιου χρηματοπιστωτικού ιδρύματος εκδόσεως της εγγυητικής επιστολής.  </w:t>
      </w:r>
    </w:p>
    <w:p w:rsidR="005C4CD0" w:rsidRPr="006D6B95" w:rsidRDefault="005C4CD0" w:rsidP="00786E87">
      <w:pPr>
        <w:jc w:val="both"/>
        <w:rPr>
          <w:b/>
        </w:rPr>
      </w:pPr>
      <w:r w:rsidRPr="006D6B95">
        <w:rPr>
          <w:b/>
        </w:rPr>
        <w:t xml:space="preserve">ΑΡΘΡΟ 6: ΠΡΟΥΠΟΘΕΣΕΙΣ ΚΑΙ ΔΙΑΔΙΚΑΣΙΑ ΠΑΡΑΛΑΒΗΣ </w:t>
      </w:r>
    </w:p>
    <w:p w:rsidR="005C4CD0" w:rsidRPr="006D6B95" w:rsidRDefault="005C4CD0" w:rsidP="00786E87">
      <w:pPr>
        <w:jc w:val="both"/>
      </w:pPr>
      <w:r w:rsidRPr="006D6B95">
        <w:t xml:space="preserve"> Η βεβαίωση καλής εκτέλεσης των εργασιών θα γίνει από αρμόδια ορισμένη από την υπηρεσία επιτροπή βάση του Ν.4412/16. </w:t>
      </w:r>
    </w:p>
    <w:p w:rsidR="005C4CD0" w:rsidRPr="006D6B95" w:rsidRDefault="005C4CD0" w:rsidP="00786E87">
      <w:pPr>
        <w:jc w:val="both"/>
        <w:rPr>
          <w:b/>
        </w:rPr>
      </w:pPr>
      <w:r w:rsidRPr="006D6B95">
        <w:rPr>
          <w:b/>
        </w:rPr>
        <w:t xml:space="preserve">ΑΡΘΡΟ 7: ΦΟΡΟΙ – ΤΕΛΗ – ΚΡΑΤΗΣΕΙΣ </w:t>
      </w:r>
    </w:p>
    <w:p w:rsidR="005C4CD0" w:rsidRPr="006D6B95" w:rsidRDefault="005C4CD0" w:rsidP="00786E87">
      <w:pPr>
        <w:jc w:val="both"/>
      </w:pPr>
      <w:r w:rsidRPr="006D6B95">
        <w:t>Ο ανάδοχος βαρύνετα</w:t>
      </w:r>
      <w:r w:rsidR="00FE7F98" w:rsidRPr="006D6B95">
        <w:t>ι με όλους τους νόμιμους φόρους</w:t>
      </w:r>
      <w:r w:rsidRPr="006D6B95">
        <w:t xml:space="preserve">, τέλη και κρατήσεις που ισχύουν κατά την ημέρα υπογραφής της σύμβασης πλην του Φ.Π.Α. 24%. </w:t>
      </w:r>
    </w:p>
    <w:p w:rsidR="005C4CD0" w:rsidRPr="006D6B95" w:rsidRDefault="005C4CD0" w:rsidP="00786E87">
      <w:pPr>
        <w:jc w:val="both"/>
        <w:rPr>
          <w:b/>
        </w:rPr>
      </w:pPr>
      <w:r w:rsidRPr="006D6B95">
        <w:rPr>
          <w:b/>
        </w:rPr>
        <w:t xml:space="preserve">ΑΡΘΡΟ 8: ΠΛΗΡΩΜΗ </w:t>
      </w:r>
    </w:p>
    <w:p w:rsidR="00E1533D" w:rsidRPr="006D6B95" w:rsidRDefault="006D6B95" w:rsidP="006D6B95">
      <w:pPr>
        <w:snapToGrid w:val="0"/>
        <w:spacing w:after="0"/>
        <w:jc w:val="both"/>
      </w:pPr>
      <w:r w:rsidRPr="006D6B95">
        <w:t>Η δαπάνη που προκαλείται από τη συγκεκριμένη ανάθεση θα καλυφθεί από ιδίους πόρους  και από τον προϋπολογισμό εξόδων του τρέχοντος έτους, όπου υπάρχει εγγεγραμμένη η σχετική πίστωση, η οποία θα βαρύνει τον Κ.Α. 02.15.6233</w:t>
      </w:r>
      <w:r w:rsidR="004F7A49">
        <w:t xml:space="preserve"> και τον αντίστοιχο του έτους 2019</w:t>
      </w:r>
      <w:r w:rsidRPr="006D6B95">
        <w:t xml:space="preserve">. </w:t>
      </w:r>
      <w:r w:rsidR="00E1533D" w:rsidRPr="006D6B95">
        <w:t>Η πληρωμή του ανάδοχου θα γίνει μετά από την έκ</w:t>
      </w:r>
      <w:r w:rsidR="004F7A49">
        <w:t>δοση του σχετικού τιμολογίου,</w:t>
      </w:r>
      <w:r w:rsidR="00E1533D" w:rsidRPr="006D6B95">
        <w:t xml:space="preserve"> ύστερα από την σύνταξη βεβαίωσης καλής εκτέλεσης της μίσθωσης και μετά την προσκόμιση των δικαιολογητικών πληρωμής. </w:t>
      </w:r>
    </w:p>
    <w:p w:rsidR="006D6B95" w:rsidRDefault="006D6B95" w:rsidP="00786E87">
      <w:pPr>
        <w:jc w:val="both"/>
        <w:rPr>
          <w:b/>
        </w:rPr>
      </w:pPr>
    </w:p>
    <w:p w:rsidR="00E1533D" w:rsidRPr="006D6B95" w:rsidRDefault="00E1533D" w:rsidP="00786E87">
      <w:pPr>
        <w:jc w:val="both"/>
        <w:rPr>
          <w:b/>
        </w:rPr>
      </w:pPr>
      <w:r w:rsidRPr="006D6B95">
        <w:rPr>
          <w:b/>
        </w:rPr>
        <w:lastRenderedPageBreak/>
        <w:t xml:space="preserve">ΑΡΘΡΟ 9: ΕΚΧΩΡΗΣΗ ΤΗΣ ΕΡΓΑΣΙΑΣ </w:t>
      </w:r>
    </w:p>
    <w:p w:rsidR="00E1533D" w:rsidRPr="006D6B95" w:rsidRDefault="00E1533D" w:rsidP="00786E87">
      <w:pPr>
        <w:jc w:val="both"/>
      </w:pPr>
      <w:r w:rsidRPr="006D6B95">
        <w:t xml:space="preserve">Απαγορεύεται ρητά η εκχώρηση από τον ανάδοχο σε τρίτους μέρους ή αντικειμένου της συμβάσεως.  </w:t>
      </w:r>
    </w:p>
    <w:p w:rsidR="00E1533D" w:rsidRPr="006D6B95" w:rsidRDefault="00E1533D" w:rsidP="00786E87">
      <w:pPr>
        <w:jc w:val="both"/>
        <w:rPr>
          <w:b/>
        </w:rPr>
      </w:pPr>
      <w:r w:rsidRPr="006D6B95">
        <w:rPr>
          <w:b/>
        </w:rPr>
        <w:t xml:space="preserve">ΑΡΘΡΟ 10: ΕΠΙΛΥΣΗ ΔΙΑΦΟΡΩΝ </w:t>
      </w:r>
    </w:p>
    <w:p w:rsidR="00B91ED3" w:rsidRPr="006D6B95" w:rsidRDefault="00E1533D" w:rsidP="00786E87">
      <w:pPr>
        <w:jc w:val="both"/>
      </w:pPr>
      <w:r w:rsidRPr="006D6B95">
        <w:t>Τυχόν διαφορές που θα προκύψουν κατά την εκτέλεση της εργασίας επιλύονται κατά τις διατάξεις του Αστι</w:t>
      </w:r>
      <w:r w:rsidR="006D6B95" w:rsidRPr="006D6B95">
        <w:t>κού Κώδικα και τον Κώδικα Δήμων και Κοινοτήτων</w:t>
      </w:r>
      <w:r w:rsidRPr="006D6B95">
        <w:t>.</w:t>
      </w:r>
    </w:p>
    <w:p w:rsidR="00B91ED3" w:rsidRPr="006D6B95" w:rsidRDefault="00B91ED3" w:rsidP="00786E87">
      <w:pPr>
        <w:jc w:val="both"/>
      </w:pPr>
    </w:p>
    <w:tbl>
      <w:tblPr>
        <w:tblStyle w:val="a3"/>
        <w:tblW w:w="0" w:type="auto"/>
        <w:tblLook w:val="04A0"/>
      </w:tblPr>
      <w:tblGrid>
        <w:gridCol w:w="3285"/>
        <w:gridCol w:w="3285"/>
        <w:gridCol w:w="3285"/>
      </w:tblGrid>
      <w:tr w:rsidR="00B91ED3" w:rsidRPr="006D6B95" w:rsidTr="00B91ED3">
        <w:trPr>
          <w:trHeight w:val="1392"/>
        </w:trPr>
        <w:tc>
          <w:tcPr>
            <w:tcW w:w="3285" w:type="dxa"/>
          </w:tcPr>
          <w:p w:rsidR="00B91ED3" w:rsidRDefault="00B91ED3" w:rsidP="001F419C">
            <w:pPr>
              <w:jc w:val="center"/>
              <w:rPr>
                <w:b/>
              </w:rPr>
            </w:pPr>
            <w:r w:rsidRPr="006D6B95">
              <w:rPr>
                <w:b/>
              </w:rPr>
              <w:t>Ο ΣΥΝΤΑΞΑΣ</w:t>
            </w:r>
          </w:p>
          <w:p w:rsidR="00BF4AAE" w:rsidRDefault="00BF4AAE" w:rsidP="001F419C">
            <w:pPr>
              <w:jc w:val="center"/>
              <w:rPr>
                <w:b/>
              </w:rPr>
            </w:pPr>
          </w:p>
          <w:p w:rsidR="00BF4AAE" w:rsidRDefault="00BF4AAE" w:rsidP="001F419C">
            <w:pPr>
              <w:jc w:val="center"/>
              <w:rPr>
                <w:b/>
              </w:rPr>
            </w:pPr>
          </w:p>
          <w:p w:rsidR="00BF4AAE" w:rsidRPr="006D6B95" w:rsidRDefault="00BF4AAE" w:rsidP="001F419C">
            <w:pPr>
              <w:jc w:val="center"/>
              <w:rPr>
                <w:b/>
              </w:rPr>
            </w:pPr>
            <w:r>
              <w:rPr>
                <w:b/>
              </w:rPr>
              <w:t>Α. ΑΛΑΤΑ</w:t>
            </w:r>
          </w:p>
        </w:tc>
        <w:tc>
          <w:tcPr>
            <w:tcW w:w="3285" w:type="dxa"/>
          </w:tcPr>
          <w:p w:rsidR="00B91ED3" w:rsidRDefault="00B91ED3" w:rsidP="001F419C">
            <w:pPr>
              <w:jc w:val="center"/>
              <w:rPr>
                <w:b/>
              </w:rPr>
            </w:pPr>
            <w:r w:rsidRPr="006D6B95">
              <w:rPr>
                <w:b/>
              </w:rPr>
              <w:t>ΕΛΕΧΘΗΚΕ</w:t>
            </w:r>
          </w:p>
          <w:p w:rsidR="00BF4AAE" w:rsidRDefault="00BF4AAE" w:rsidP="001F419C">
            <w:pPr>
              <w:jc w:val="center"/>
              <w:rPr>
                <w:b/>
              </w:rPr>
            </w:pPr>
          </w:p>
          <w:p w:rsidR="00BF4AAE" w:rsidRDefault="00BF4AAE" w:rsidP="001F419C">
            <w:pPr>
              <w:jc w:val="center"/>
              <w:rPr>
                <w:b/>
              </w:rPr>
            </w:pPr>
          </w:p>
          <w:p w:rsidR="00BF4AAE" w:rsidRPr="006D6B95" w:rsidRDefault="00BF4AAE" w:rsidP="001F419C">
            <w:pPr>
              <w:jc w:val="center"/>
              <w:rPr>
                <w:b/>
              </w:rPr>
            </w:pPr>
            <w:r>
              <w:rPr>
                <w:b/>
              </w:rPr>
              <w:t xml:space="preserve">ΞΑΝΘΗ ΓΚΑΪΤΑΤΖΗ </w:t>
            </w:r>
          </w:p>
        </w:tc>
        <w:tc>
          <w:tcPr>
            <w:tcW w:w="3285" w:type="dxa"/>
          </w:tcPr>
          <w:p w:rsidR="00B91ED3" w:rsidRDefault="00B91ED3" w:rsidP="001F419C">
            <w:pPr>
              <w:jc w:val="center"/>
              <w:rPr>
                <w:b/>
              </w:rPr>
            </w:pPr>
            <w:r w:rsidRPr="006D6B95">
              <w:rPr>
                <w:b/>
              </w:rPr>
              <w:t>ΘΕΩΡΗΘΗΚΕ</w:t>
            </w:r>
          </w:p>
          <w:p w:rsidR="00BF4AAE" w:rsidRDefault="00BF4AAE" w:rsidP="001F419C">
            <w:pPr>
              <w:jc w:val="center"/>
              <w:rPr>
                <w:b/>
              </w:rPr>
            </w:pPr>
          </w:p>
          <w:p w:rsidR="00BF4AAE" w:rsidRDefault="00BF4AAE" w:rsidP="001F419C">
            <w:pPr>
              <w:jc w:val="center"/>
              <w:rPr>
                <w:b/>
              </w:rPr>
            </w:pPr>
          </w:p>
          <w:p w:rsidR="00BF4AAE" w:rsidRPr="006D6B95" w:rsidRDefault="00BF4AAE" w:rsidP="001F419C">
            <w:pPr>
              <w:jc w:val="center"/>
              <w:rPr>
                <w:b/>
              </w:rPr>
            </w:pPr>
            <w:r>
              <w:rPr>
                <w:b/>
              </w:rPr>
              <w:t>ΞΑΝΘΗ ΓΚΑΪΤΑΤΖΗ</w:t>
            </w:r>
          </w:p>
        </w:tc>
      </w:tr>
    </w:tbl>
    <w:p w:rsidR="00E1533D" w:rsidRPr="006D6B95" w:rsidRDefault="00E1533D" w:rsidP="00786E87">
      <w:pPr>
        <w:jc w:val="both"/>
      </w:pPr>
      <w:r w:rsidRPr="006D6B95">
        <w:t xml:space="preserve"> </w:t>
      </w:r>
    </w:p>
    <w:p w:rsidR="005C4CD0" w:rsidRPr="006D6B95" w:rsidRDefault="005C4CD0" w:rsidP="00786E87">
      <w:pPr>
        <w:jc w:val="both"/>
      </w:pPr>
      <w:r w:rsidRPr="006D6B95">
        <w:t xml:space="preserve">   </w:t>
      </w:r>
    </w:p>
    <w:p w:rsidR="002D6FA4" w:rsidRPr="006D6B95" w:rsidRDefault="002D6FA4" w:rsidP="00786E87">
      <w:pPr>
        <w:jc w:val="both"/>
      </w:pPr>
    </w:p>
    <w:p w:rsidR="00777EAF" w:rsidRPr="006D6B95" w:rsidRDefault="00777EAF" w:rsidP="00786E87">
      <w:pPr>
        <w:jc w:val="both"/>
      </w:pPr>
    </w:p>
    <w:p w:rsidR="002D0917" w:rsidRPr="006D6B95" w:rsidRDefault="002D0917" w:rsidP="00786E87">
      <w:pPr>
        <w:jc w:val="both"/>
      </w:pPr>
    </w:p>
    <w:p w:rsidR="00964E7F" w:rsidRPr="006D6B95" w:rsidRDefault="00964E7F" w:rsidP="00786E87">
      <w:pPr>
        <w:jc w:val="both"/>
      </w:pPr>
    </w:p>
    <w:p w:rsidR="00125CC7" w:rsidRPr="006D6B95" w:rsidRDefault="00125CC7" w:rsidP="00786E87">
      <w:pPr>
        <w:ind w:left="1440" w:firstLine="720"/>
        <w:jc w:val="both"/>
      </w:pPr>
    </w:p>
    <w:p w:rsidR="00125CC7" w:rsidRPr="006D6B95" w:rsidRDefault="00125CC7" w:rsidP="00786E87">
      <w:pPr>
        <w:ind w:left="1440" w:firstLine="720"/>
        <w:jc w:val="both"/>
      </w:pPr>
    </w:p>
    <w:p w:rsidR="00125CC7" w:rsidRPr="006D6B95" w:rsidRDefault="00125CC7" w:rsidP="00786E87">
      <w:pPr>
        <w:ind w:left="1440" w:firstLine="720"/>
        <w:jc w:val="both"/>
      </w:pPr>
    </w:p>
    <w:p w:rsidR="00125CC7" w:rsidRPr="006D6B95" w:rsidRDefault="00125CC7" w:rsidP="00786E87">
      <w:pPr>
        <w:ind w:left="1440" w:firstLine="720"/>
        <w:jc w:val="both"/>
      </w:pPr>
    </w:p>
    <w:sectPr w:rsidR="00125CC7" w:rsidRPr="006D6B95" w:rsidSect="007675CE">
      <w:pgSz w:w="11906" w:h="16838" w:code="9"/>
      <w:pgMar w:top="1134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7637"/>
    <w:multiLevelType w:val="hybridMultilevel"/>
    <w:tmpl w:val="D06E8BC0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22434"/>
    <w:multiLevelType w:val="hybridMultilevel"/>
    <w:tmpl w:val="3774EF74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87C92"/>
    <w:multiLevelType w:val="hybridMultilevel"/>
    <w:tmpl w:val="7780D8A8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9CE6DA6"/>
    <w:multiLevelType w:val="hybridMultilevel"/>
    <w:tmpl w:val="7786E5CE"/>
    <w:lvl w:ilvl="0" w:tplc="0408000F">
      <w:start w:val="1"/>
      <w:numFmt w:val="decimal"/>
      <w:lvlText w:val="%1."/>
      <w:lvlJc w:val="left"/>
      <w:pPr>
        <w:ind w:left="5760" w:hanging="360"/>
      </w:pPr>
    </w:lvl>
    <w:lvl w:ilvl="1" w:tplc="04080019" w:tentative="1">
      <w:start w:val="1"/>
      <w:numFmt w:val="lowerLetter"/>
      <w:lvlText w:val="%2."/>
      <w:lvlJc w:val="left"/>
      <w:pPr>
        <w:ind w:left="6480" w:hanging="360"/>
      </w:pPr>
    </w:lvl>
    <w:lvl w:ilvl="2" w:tplc="0408001B" w:tentative="1">
      <w:start w:val="1"/>
      <w:numFmt w:val="lowerRoman"/>
      <w:lvlText w:val="%3."/>
      <w:lvlJc w:val="right"/>
      <w:pPr>
        <w:ind w:left="7200" w:hanging="180"/>
      </w:pPr>
    </w:lvl>
    <w:lvl w:ilvl="3" w:tplc="0408000F" w:tentative="1">
      <w:start w:val="1"/>
      <w:numFmt w:val="decimal"/>
      <w:lvlText w:val="%4."/>
      <w:lvlJc w:val="left"/>
      <w:pPr>
        <w:ind w:left="7920" w:hanging="360"/>
      </w:pPr>
    </w:lvl>
    <w:lvl w:ilvl="4" w:tplc="04080019" w:tentative="1">
      <w:start w:val="1"/>
      <w:numFmt w:val="lowerLetter"/>
      <w:lvlText w:val="%5."/>
      <w:lvlJc w:val="left"/>
      <w:pPr>
        <w:ind w:left="8640" w:hanging="360"/>
      </w:pPr>
    </w:lvl>
    <w:lvl w:ilvl="5" w:tplc="0408001B" w:tentative="1">
      <w:start w:val="1"/>
      <w:numFmt w:val="lowerRoman"/>
      <w:lvlText w:val="%6."/>
      <w:lvlJc w:val="right"/>
      <w:pPr>
        <w:ind w:left="9360" w:hanging="180"/>
      </w:pPr>
    </w:lvl>
    <w:lvl w:ilvl="6" w:tplc="0408000F" w:tentative="1">
      <w:start w:val="1"/>
      <w:numFmt w:val="decimal"/>
      <w:lvlText w:val="%7."/>
      <w:lvlJc w:val="left"/>
      <w:pPr>
        <w:ind w:left="10080" w:hanging="360"/>
      </w:pPr>
    </w:lvl>
    <w:lvl w:ilvl="7" w:tplc="04080019" w:tentative="1">
      <w:start w:val="1"/>
      <w:numFmt w:val="lowerLetter"/>
      <w:lvlText w:val="%8."/>
      <w:lvlJc w:val="left"/>
      <w:pPr>
        <w:ind w:left="10800" w:hanging="360"/>
      </w:pPr>
    </w:lvl>
    <w:lvl w:ilvl="8" w:tplc="0408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">
    <w:nsid w:val="5C155376"/>
    <w:multiLevelType w:val="hybridMultilevel"/>
    <w:tmpl w:val="6A1ACA42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215A5"/>
    <w:multiLevelType w:val="hybridMultilevel"/>
    <w:tmpl w:val="B99C1B16"/>
    <w:lvl w:ilvl="0" w:tplc="0408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7FF412D1"/>
    <w:multiLevelType w:val="hybridMultilevel"/>
    <w:tmpl w:val="25CA25EC"/>
    <w:lvl w:ilvl="0" w:tplc="04080013">
      <w:start w:val="1"/>
      <w:numFmt w:val="upp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46196"/>
    <w:rsid w:val="000712D2"/>
    <w:rsid w:val="00092234"/>
    <w:rsid w:val="000F5747"/>
    <w:rsid w:val="00125CC7"/>
    <w:rsid w:val="001F1187"/>
    <w:rsid w:val="001F419C"/>
    <w:rsid w:val="002103F9"/>
    <w:rsid w:val="00221647"/>
    <w:rsid w:val="002B1C79"/>
    <w:rsid w:val="002D0917"/>
    <w:rsid w:val="002D6FA4"/>
    <w:rsid w:val="00305056"/>
    <w:rsid w:val="00357BE0"/>
    <w:rsid w:val="00384C65"/>
    <w:rsid w:val="003B3EDB"/>
    <w:rsid w:val="0043163C"/>
    <w:rsid w:val="004F7A49"/>
    <w:rsid w:val="005122F2"/>
    <w:rsid w:val="00552D88"/>
    <w:rsid w:val="005757E9"/>
    <w:rsid w:val="005B1D8D"/>
    <w:rsid w:val="005B5E47"/>
    <w:rsid w:val="005C4CD0"/>
    <w:rsid w:val="005E55A5"/>
    <w:rsid w:val="006359CA"/>
    <w:rsid w:val="006721FF"/>
    <w:rsid w:val="006D0908"/>
    <w:rsid w:val="006D6B95"/>
    <w:rsid w:val="007117B2"/>
    <w:rsid w:val="00722697"/>
    <w:rsid w:val="00722A28"/>
    <w:rsid w:val="007675CE"/>
    <w:rsid w:val="00772C2B"/>
    <w:rsid w:val="00777EAF"/>
    <w:rsid w:val="00786E87"/>
    <w:rsid w:val="007F26CA"/>
    <w:rsid w:val="00817347"/>
    <w:rsid w:val="00845E6C"/>
    <w:rsid w:val="00897CC1"/>
    <w:rsid w:val="008F496C"/>
    <w:rsid w:val="00964E7F"/>
    <w:rsid w:val="00966976"/>
    <w:rsid w:val="009A5699"/>
    <w:rsid w:val="009E4316"/>
    <w:rsid w:val="00A07FE9"/>
    <w:rsid w:val="00A23A49"/>
    <w:rsid w:val="00A64743"/>
    <w:rsid w:val="00A80F15"/>
    <w:rsid w:val="00A86504"/>
    <w:rsid w:val="00B61FD0"/>
    <w:rsid w:val="00B91ED3"/>
    <w:rsid w:val="00BA457A"/>
    <w:rsid w:val="00BF2985"/>
    <w:rsid w:val="00BF4AAE"/>
    <w:rsid w:val="00C30F90"/>
    <w:rsid w:val="00C6268E"/>
    <w:rsid w:val="00C95BF3"/>
    <w:rsid w:val="00CC4C00"/>
    <w:rsid w:val="00CE5DAB"/>
    <w:rsid w:val="00D12F53"/>
    <w:rsid w:val="00D33D4B"/>
    <w:rsid w:val="00D513A9"/>
    <w:rsid w:val="00D64700"/>
    <w:rsid w:val="00D64A04"/>
    <w:rsid w:val="00DC3E7B"/>
    <w:rsid w:val="00E1533D"/>
    <w:rsid w:val="00E27C2F"/>
    <w:rsid w:val="00E46196"/>
    <w:rsid w:val="00E52C2A"/>
    <w:rsid w:val="00E91F35"/>
    <w:rsid w:val="00ED4A9A"/>
    <w:rsid w:val="00F33018"/>
    <w:rsid w:val="00F63FD9"/>
    <w:rsid w:val="00F818E9"/>
    <w:rsid w:val="00F83B6B"/>
    <w:rsid w:val="00FD0F39"/>
    <w:rsid w:val="00FD4195"/>
    <w:rsid w:val="00FE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6C"/>
  </w:style>
  <w:style w:type="paragraph" w:styleId="1">
    <w:name w:val="heading 1"/>
    <w:basedOn w:val="a"/>
    <w:next w:val="a"/>
    <w:link w:val="1Char"/>
    <w:qFormat/>
    <w:rsid w:val="006721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en-US" w:eastAsia="el-GR"/>
    </w:rPr>
  </w:style>
  <w:style w:type="paragraph" w:styleId="7">
    <w:name w:val="heading 7"/>
    <w:basedOn w:val="a"/>
    <w:next w:val="a"/>
    <w:link w:val="7Char"/>
    <w:qFormat/>
    <w:rsid w:val="006721FF"/>
    <w:pPr>
      <w:keepNext/>
      <w:framePr w:hSpace="180" w:wrap="around" w:vAnchor="text" w:hAnchor="margin" w:x="108" w:y="182"/>
      <w:spacing w:after="0" w:line="240" w:lineRule="auto"/>
      <w:outlineLvl w:val="6"/>
    </w:pPr>
    <w:rPr>
      <w:rFonts w:ascii="Arial" w:eastAsia="Times New Roman" w:hAnsi="Arial" w:cs="Arial"/>
      <w:b/>
      <w:bCs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4C65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6721FF"/>
    <w:rPr>
      <w:rFonts w:ascii="Times New Roman" w:eastAsia="Times New Roman" w:hAnsi="Times New Roman" w:cs="Times New Roman"/>
      <w:sz w:val="28"/>
      <w:szCs w:val="20"/>
      <w:lang w:val="en-US" w:eastAsia="el-GR"/>
    </w:rPr>
  </w:style>
  <w:style w:type="character" w:customStyle="1" w:styleId="7Char">
    <w:name w:val="Επικεφαλίδα 7 Char"/>
    <w:basedOn w:val="a0"/>
    <w:link w:val="7"/>
    <w:rsid w:val="006721FF"/>
    <w:rPr>
      <w:rFonts w:ascii="Arial" w:eastAsia="Times New Roman" w:hAnsi="Arial" w:cs="Arial"/>
      <w:b/>
      <w:bCs/>
      <w:szCs w:val="24"/>
      <w:lang w:eastAsia="el-GR"/>
    </w:rPr>
  </w:style>
  <w:style w:type="character" w:styleId="-">
    <w:name w:val="Hyperlink"/>
    <w:rsid w:val="006721FF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721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noia@cityofxanthi.g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1530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3</cp:revision>
  <cp:lastPrinted>2018-12-13T08:34:00Z</cp:lastPrinted>
  <dcterms:created xsi:type="dcterms:W3CDTF">2018-12-13T12:27:00Z</dcterms:created>
  <dcterms:modified xsi:type="dcterms:W3CDTF">2018-12-13T12:31:00Z</dcterms:modified>
</cp:coreProperties>
</file>