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-318" w:tblpY="-882"/>
        <w:tblW w:w="9612" w:type="dxa"/>
        <w:tblLook w:val="0000" w:firstRow="0" w:lastRow="0" w:firstColumn="0" w:lastColumn="0" w:noHBand="0" w:noVBand="0"/>
      </w:tblPr>
      <w:tblGrid>
        <w:gridCol w:w="4752"/>
        <w:gridCol w:w="4860"/>
      </w:tblGrid>
      <w:tr w:rsidR="00324945" w:rsidRPr="00407B88" w:rsidTr="00711592">
        <w:trPr>
          <w:trHeight w:val="4035"/>
        </w:trPr>
        <w:tc>
          <w:tcPr>
            <w:tcW w:w="4752" w:type="dxa"/>
          </w:tcPr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</w:p>
          <w:p w:rsidR="00324945" w:rsidRPr="00407B88" w:rsidRDefault="00324945" w:rsidP="00711592">
            <w:pPr>
              <w:tabs>
                <w:tab w:val="left" w:pos="1035"/>
              </w:tabs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  <w:r w:rsidRPr="00407B88">
              <w:rPr>
                <w:rFonts w:ascii="Times New Roman" w:hAnsi="Times New Roman"/>
                <w:sz w:val="24"/>
                <w:szCs w:val="24"/>
              </w:rPr>
              <w:object w:dxaOrig="1560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53.25pt" o:ole="" fillcolor="blue">
                  <v:imagedata r:id="rId5" o:title=""/>
                </v:shape>
                <o:OLEObject Type="Embed" ProgID="MSPhotoEd.3" ShapeID="_x0000_i1025" DrawAspect="Content" ObjectID="_1630909373" r:id="rId6"/>
              </w:object>
            </w:r>
          </w:p>
          <w:p w:rsidR="00324945" w:rsidRPr="00473A7C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>ΕΛΛΗΝΙΚΗ  ΔΗΜΟΚΡΑΤΙΑ</w:t>
            </w:r>
          </w:p>
          <w:p w:rsidR="00324945" w:rsidRPr="00473A7C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ΝΟΜΟΣ  ΞΑΝΘΗΣ</w:t>
            </w:r>
          </w:p>
          <w:p w:rsidR="00324945" w:rsidRPr="00473A7C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ΔΗΜΟΣ  ΞΑΝΘΗΣ</w:t>
            </w:r>
          </w:p>
          <w:p w:rsidR="00324945" w:rsidRPr="00473A7C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ΔΗΜΟΤΙΚΗ ΕΝΟΤΗΤΑ </w:t>
            </w:r>
          </w:p>
          <w:p w:rsidR="00324945" w:rsidRPr="00473A7C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Pr="00473A7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ΣΤΑΥΡΟΥΠΟΛΗΣ</w:t>
            </w: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Default="00324945" w:rsidP="00711592">
            <w:pPr>
              <w:ind w:right="-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ΠΑΡΟΧΗ ΥΠΗΡΕΣΙΑΣ ΜΕ ΤΙΤΛΟ : «ΑΣΦΑΛΙΣΗ ΤΟΥ ΔΑΣΙΚΟΥ ΧΩΡΙΟΥ</w:t>
            </w:r>
          </w:p>
          <w:p w:rsidR="00324945" w:rsidRPr="00473A7C" w:rsidRDefault="00324945" w:rsidP="00711592">
            <w:pPr>
              <w:ind w:right="-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ΕΡΥΜΑΝΘΟΥ ΚΑΤΑ ΤΟΥ ΚΙΝΔΥΝΟΥ ΤΗΣ ΠΥΡΚΑΓΙΑΣ»</w:t>
            </w: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324945" w:rsidRPr="00407B88" w:rsidRDefault="00324945" w:rsidP="00711592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07B88">
              <w:rPr>
                <w:sz w:val="24"/>
                <w:szCs w:val="24"/>
              </w:rPr>
              <w:t xml:space="preserve">             </w:t>
            </w:r>
            <w:r w:rsidRPr="00407B88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</w:tc>
      </w:tr>
    </w:tbl>
    <w:p w:rsidR="00324945" w:rsidRDefault="00324945" w:rsidP="00324945">
      <w:pPr>
        <w:ind w:right="-14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73A7C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Pr="00473A7C">
        <w:rPr>
          <w:rFonts w:ascii="Times New Roman" w:hAnsi="Times New Roman"/>
          <w:b/>
          <w:sz w:val="32"/>
          <w:szCs w:val="32"/>
        </w:rPr>
        <w:t xml:space="preserve">                                   </w:t>
      </w:r>
      <w:r w:rsidRPr="00473A7C">
        <w:rPr>
          <w:rFonts w:ascii="Times New Roman" w:hAnsi="Times New Roman"/>
          <w:b/>
          <w:sz w:val="28"/>
          <w:szCs w:val="28"/>
          <w:u w:val="single"/>
        </w:rPr>
        <w:t>ΤΕΧΝΙΚΗ  ΠΕΡΙΓΡΑΦΗ</w:t>
      </w:r>
    </w:p>
    <w:p w:rsidR="00324945" w:rsidRPr="00473A7C" w:rsidRDefault="00324945" w:rsidP="00324945">
      <w:pPr>
        <w:ind w:right="-142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b/>
          <w:sz w:val="28"/>
          <w:szCs w:val="28"/>
        </w:rPr>
        <w:t xml:space="preserve">      </w:t>
      </w:r>
      <w:r w:rsidRPr="00453587">
        <w:rPr>
          <w:rFonts w:ascii="Times New Roman" w:hAnsi="Times New Roman"/>
          <w:sz w:val="28"/>
          <w:szCs w:val="28"/>
        </w:rPr>
        <w:t>Η  Τεχνική  Περιγραφή  συντάσσεται  προκειμένου  ο  Δήμος  Ξάνθης  να  έχει την δυνατότητα ασφάλισης του Δασικού Χωριού Ερυμάνθου από τον κίνδυνο της πυρκαγιάς.  Το  Δασικό  Χωριό  Ερυμάνθου  βρίσκεται  στο δημόσιο δάσος Δρυμού (</w:t>
      </w:r>
      <w:proofErr w:type="spellStart"/>
      <w:r w:rsidRPr="00453587">
        <w:rPr>
          <w:rFonts w:ascii="Times New Roman" w:hAnsi="Times New Roman"/>
          <w:sz w:val="28"/>
          <w:szCs w:val="28"/>
        </w:rPr>
        <w:t>Χαϊντού</w:t>
      </w:r>
      <w:proofErr w:type="spellEnd"/>
      <w:r w:rsidRPr="00453587">
        <w:rPr>
          <w:rFonts w:ascii="Times New Roman" w:hAnsi="Times New Roman"/>
          <w:sz w:val="28"/>
          <w:szCs w:val="28"/>
        </w:rPr>
        <w:t>) σε υψόμετρο 1350 μέτρων και καταλαμβάνει έκταση 96.000,00 τ.μ. (96 στρεμμάτων) περίπου.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      Λήπτης Ασφάλισης  :  Δήμος Ξάνθης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453587">
        <w:rPr>
          <w:rFonts w:ascii="Times New Roman" w:hAnsi="Times New Roman"/>
          <w:sz w:val="28"/>
          <w:szCs w:val="28"/>
        </w:rPr>
        <w:t>Ασφαλιζόμενος</w:t>
      </w:r>
      <w:proofErr w:type="spellEnd"/>
      <w:r w:rsidRPr="00453587">
        <w:rPr>
          <w:rFonts w:ascii="Times New Roman" w:hAnsi="Times New Roman"/>
          <w:sz w:val="28"/>
          <w:szCs w:val="28"/>
        </w:rPr>
        <w:t xml:space="preserve"> :  Δασικό Χωριό Ερυμάνθου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      Διάρκεια Ασφάλισης :  Ένα (1) έτος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 </w:t>
      </w:r>
    </w:p>
    <w:p w:rsidR="00324945" w:rsidRPr="00453587" w:rsidRDefault="00324945" w:rsidP="00324945">
      <w:pPr>
        <w:jc w:val="both"/>
        <w:rPr>
          <w:rFonts w:ascii="Times New Roman" w:hAnsi="Times New Roman"/>
          <w:b/>
          <w:sz w:val="28"/>
          <w:szCs w:val="28"/>
        </w:rPr>
      </w:pPr>
      <w:r w:rsidRPr="00453587">
        <w:rPr>
          <w:rFonts w:ascii="Times New Roman" w:hAnsi="Times New Roman"/>
          <w:b/>
          <w:sz w:val="28"/>
          <w:szCs w:val="28"/>
        </w:rPr>
        <w:t xml:space="preserve">      </w:t>
      </w:r>
      <w:r w:rsidRPr="00453587">
        <w:rPr>
          <w:rFonts w:ascii="Times New Roman" w:hAnsi="Times New Roman"/>
          <w:b/>
          <w:sz w:val="28"/>
          <w:szCs w:val="28"/>
          <w:u w:val="single"/>
        </w:rPr>
        <w:t>Αντικείμενο Ασφάλισης</w:t>
      </w:r>
    </w:p>
    <w:p w:rsidR="00324945" w:rsidRPr="00453587" w:rsidRDefault="00324945" w:rsidP="00324945">
      <w:pPr>
        <w:jc w:val="both"/>
        <w:rPr>
          <w:rFonts w:ascii="Times New Roman" w:hAnsi="Times New Roman"/>
          <w:b/>
          <w:sz w:val="28"/>
          <w:szCs w:val="28"/>
        </w:rPr>
      </w:pP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</w:t>
      </w:r>
      <w:r w:rsidRPr="00453587">
        <w:rPr>
          <w:rFonts w:ascii="Times New Roman" w:hAnsi="Times New Roman"/>
          <w:sz w:val="28"/>
          <w:szCs w:val="28"/>
          <w:u w:val="single"/>
        </w:rPr>
        <w:t>Α. Κτίρια κατασκευής έτους 1990 που απαρτίζουν το Δασικό Χωριό Ερυμάνθου και ανήκουν στο Δασαρχείο Ξάνθης.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1.  Δώδεκα  (12) ξύλινοι κεραμοσκεπείς οικίσκοι, επιφανείας 70 τ.μ., έκαστος.</w:t>
      </w:r>
    </w:p>
    <w:p w:rsidR="00324945" w:rsidRPr="00453587" w:rsidRDefault="00324945" w:rsidP="00324945">
      <w:pPr>
        <w:pStyle w:val="a3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2.  Ένας (1) ξύλινος κεραμοσκεπείς οικίσκος, επιφανείας 56 τ.μ.</w:t>
      </w:r>
    </w:p>
    <w:p w:rsidR="00324945" w:rsidRPr="00453587" w:rsidRDefault="00324945" w:rsidP="003249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>Ένα (1) κτίριο ξύλινο, κεραμοσκεπές, που χρησιμεύει για εστιατόριο, επιφανείας 166 τ.μ.</w:t>
      </w:r>
    </w:p>
    <w:p w:rsidR="00324945" w:rsidRPr="00453587" w:rsidRDefault="00324945" w:rsidP="003249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Ένα (1) κτίριο ξύλινο, κεραμοσκεπές, που χρησιμεύει για κέντρο πληροφόρησης, επιφανείας 133 τ.μ. </w:t>
      </w:r>
    </w:p>
    <w:p w:rsidR="00324945" w:rsidRPr="00453587" w:rsidRDefault="00324945" w:rsidP="0032494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Ένας (1) ξύλινος κεραμοσκεπής οικίσκος, ο οποίος χρησιμεύει ως χώρος υποδοχής του κέντρου πληροφόρησης, επιφανείας 66 τ.μ. 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</w:t>
      </w:r>
      <w:r w:rsidRPr="00453587">
        <w:rPr>
          <w:rFonts w:ascii="Times New Roman" w:hAnsi="Times New Roman"/>
          <w:sz w:val="28"/>
          <w:szCs w:val="28"/>
          <w:u w:val="single"/>
        </w:rPr>
        <w:t>Β. Περιεχόμενο γενικά και εξοπλισμός ευρισκόμενα εντός των άνωθεν περιγραφόμενων κτιρίων.</w:t>
      </w:r>
    </w:p>
    <w:p w:rsidR="00324945" w:rsidRPr="00453587" w:rsidRDefault="00324945" w:rsidP="00324945">
      <w:pPr>
        <w:jc w:val="both"/>
        <w:rPr>
          <w:rFonts w:ascii="Times New Roman" w:hAnsi="Times New Roman"/>
          <w:sz w:val="28"/>
          <w:szCs w:val="28"/>
        </w:rPr>
      </w:pPr>
    </w:p>
    <w:p w:rsidR="00324945" w:rsidRPr="00453587" w:rsidRDefault="00324945" w:rsidP="0032494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Pr="00453587">
        <w:rPr>
          <w:rFonts w:ascii="Times New Roman" w:hAnsi="Times New Roman"/>
          <w:b/>
          <w:sz w:val="28"/>
          <w:szCs w:val="28"/>
          <w:u w:val="single"/>
        </w:rPr>
        <w:t>Ασφαλιζόμενα</w:t>
      </w:r>
      <w:proofErr w:type="spellEnd"/>
      <w:r w:rsidRPr="00453587">
        <w:rPr>
          <w:rFonts w:ascii="Times New Roman" w:hAnsi="Times New Roman"/>
          <w:b/>
          <w:sz w:val="28"/>
          <w:szCs w:val="28"/>
          <w:u w:val="single"/>
        </w:rPr>
        <w:t xml:space="preserve"> Κεφάλαια</w:t>
      </w:r>
    </w:p>
    <w:p w:rsidR="00324945" w:rsidRPr="00453587" w:rsidRDefault="00324945" w:rsidP="00324945">
      <w:pPr>
        <w:ind w:left="645"/>
        <w:rPr>
          <w:rFonts w:ascii="Times New Roman" w:hAnsi="Times New Roman"/>
          <w:sz w:val="28"/>
          <w:szCs w:val="28"/>
        </w:rPr>
      </w:pPr>
    </w:p>
    <w:p w:rsidR="00324945" w:rsidRPr="00453587" w:rsidRDefault="00324945" w:rsidP="0032494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Κτίρια :  550.000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87">
        <w:rPr>
          <w:rFonts w:ascii="Times New Roman" w:hAnsi="Times New Roman"/>
          <w:sz w:val="28"/>
          <w:szCs w:val="28"/>
        </w:rPr>
        <w:t>€</w:t>
      </w:r>
    </w:p>
    <w:p w:rsidR="00324945" w:rsidRPr="00453587" w:rsidRDefault="00324945" w:rsidP="0032494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 xml:space="preserve">Περιεχόμενο : 150.000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3587">
        <w:rPr>
          <w:rFonts w:ascii="Times New Roman" w:hAnsi="Times New Roman"/>
          <w:sz w:val="28"/>
          <w:szCs w:val="28"/>
        </w:rPr>
        <w:t>€</w:t>
      </w:r>
    </w:p>
    <w:p w:rsidR="00324945" w:rsidRPr="00453587" w:rsidRDefault="00324945" w:rsidP="00324945">
      <w:pPr>
        <w:rPr>
          <w:rFonts w:ascii="Times New Roman" w:hAnsi="Times New Roman"/>
          <w:sz w:val="28"/>
          <w:szCs w:val="28"/>
        </w:rPr>
      </w:pPr>
    </w:p>
    <w:p w:rsidR="00324945" w:rsidRPr="00453587" w:rsidRDefault="00324945" w:rsidP="00324945">
      <w:pPr>
        <w:rPr>
          <w:rFonts w:ascii="Times New Roman" w:hAnsi="Times New Roman"/>
          <w:b/>
          <w:sz w:val="28"/>
          <w:szCs w:val="28"/>
          <w:u w:val="single"/>
        </w:rPr>
      </w:pPr>
      <w:r w:rsidRPr="00453587">
        <w:rPr>
          <w:rFonts w:ascii="Times New Roman" w:hAnsi="Times New Roman"/>
          <w:sz w:val="28"/>
          <w:szCs w:val="28"/>
        </w:rPr>
        <w:t xml:space="preserve">         </w:t>
      </w:r>
      <w:r w:rsidRPr="00453587">
        <w:rPr>
          <w:rFonts w:ascii="Times New Roman" w:hAnsi="Times New Roman"/>
          <w:b/>
          <w:sz w:val="28"/>
          <w:szCs w:val="28"/>
          <w:u w:val="single"/>
        </w:rPr>
        <w:t xml:space="preserve">Καλυπτόμενοι κίνδυνοι </w:t>
      </w:r>
    </w:p>
    <w:p w:rsidR="00324945" w:rsidRPr="00453587" w:rsidRDefault="00324945" w:rsidP="00324945">
      <w:pPr>
        <w:rPr>
          <w:rFonts w:ascii="Times New Roman" w:hAnsi="Times New Roman"/>
          <w:sz w:val="28"/>
          <w:szCs w:val="28"/>
          <w:u w:val="single"/>
        </w:rPr>
      </w:pPr>
    </w:p>
    <w:p w:rsidR="00324945" w:rsidRPr="00453587" w:rsidRDefault="00324945" w:rsidP="0032494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>Πυρκαγιά – Κεραυνός</w:t>
      </w:r>
    </w:p>
    <w:p w:rsidR="00324945" w:rsidRPr="00453587" w:rsidRDefault="00324945" w:rsidP="0032494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>Έκρηξη</w:t>
      </w:r>
    </w:p>
    <w:p w:rsidR="00324945" w:rsidRPr="00453587" w:rsidRDefault="00324945" w:rsidP="00324945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53587">
        <w:rPr>
          <w:rFonts w:ascii="Times New Roman" w:hAnsi="Times New Roman"/>
          <w:sz w:val="28"/>
          <w:szCs w:val="28"/>
        </w:rPr>
        <w:t>Πτώση Αεροσκαφών</w:t>
      </w:r>
    </w:p>
    <w:p w:rsidR="00324945" w:rsidRPr="009A5243" w:rsidRDefault="00324945" w:rsidP="00324945">
      <w:pPr>
        <w:rPr>
          <w:rFonts w:ascii="Times New Roman" w:hAnsi="Times New Roman"/>
          <w:sz w:val="24"/>
          <w:szCs w:val="24"/>
        </w:rPr>
      </w:pPr>
    </w:p>
    <w:p w:rsidR="00324945" w:rsidRPr="00473A7C" w:rsidRDefault="00324945" w:rsidP="00324945">
      <w:pPr>
        <w:widowControl w:val="0"/>
        <w:suppressAutoHyphens/>
        <w:autoSpaceDN w:val="0"/>
        <w:textAlignment w:val="baseline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324945" w:rsidRPr="00473A7C" w:rsidRDefault="00324945" w:rsidP="00324945">
      <w:pPr>
        <w:rPr>
          <w:rFonts w:ascii="Times New Roman" w:hAnsi="Times New Roman"/>
          <w:sz w:val="28"/>
          <w:szCs w:val="28"/>
        </w:rPr>
      </w:pPr>
      <w:r w:rsidRPr="00473A7C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A7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Σταυρούπολη</w:t>
      </w:r>
      <w:r w:rsidRPr="00473A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24</w:t>
      </w:r>
      <w:r w:rsidRPr="00473A7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Σεπτεμβρ</w:t>
      </w:r>
      <w:r w:rsidRPr="00473A7C">
        <w:rPr>
          <w:rFonts w:ascii="Times New Roman" w:hAnsi="Times New Roman"/>
          <w:sz w:val="28"/>
          <w:szCs w:val="28"/>
        </w:rPr>
        <w:t>ίου  2019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A22D2B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ΘΕΩΡΗΘΗΚΕ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Η  ΔΙΕΥΘΥΝΤΡΙΑ   ΔΙΟΙΚΗΤΙΚΩΝ</w:t>
      </w:r>
      <w:r>
        <w:rPr>
          <w:rFonts w:ascii="Times New Roman" w:hAnsi="Times New Roman"/>
          <w:sz w:val="24"/>
          <w:szCs w:val="24"/>
        </w:rPr>
        <w:t xml:space="preserve">                                  Ο   ΣΥΝΤΑΚΤΗΣ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22D2B">
        <w:rPr>
          <w:rFonts w:ascii="Times New Roman" w:hAnsi="Times New Roman"/>
          <w:sz w:val="24"/>
          <w:szCs w:val="24"/>
        </w:rPr>
        <w:t xml:space="preserve">    ΥΠΗΡΕΣΙΩΝ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-318" w:tblpY="-882"/>
        <w:tblW w:w="10456" w:type="dxa"/>
        <w:tblLook w:val="0000" w:firstRow="0" w:lastRow="0" w:firstColumn="0" w:lastColumn="0" w:noHBand="0" w:noVBand="0"/>
      </w:tblPr>
      <w:tblGrid>
        <w:gridCol w:w="5169"/>
        <w:gridCol w:w="5287"/>
      </w:tblGrid>
      <w:tr w:rsidR="00324945" w:rsidRPr="00407B88" w:rsidTr="00711592">
        <w:tc>
          <w:tcPr>
            <w:tcW w:w="5169" w:type="dxa"/>
          </w:tcPr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</w:p>
          <w:p w:rsidR="00324945" w:rsidRPr="00407B88" w:rsidRDefault="00324945" w:rsidP="00711592">
            <w:pPr>
              <w:tabs>
                <w:tab w:val="left" w:pos="103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  <w:r w:rsidRPr="00407B88">
              <w:rPr>
                <w:rFonts w:ascii="Times New Roman" w:hAnsi="Times New Roman"/>
                <w:sz w:val="24"/>
                <w:szCs w:val="24"/>
              </w:rPr>
              <w:object w:dxaOrig="1560" w:dyaOrig="1545">
                <v:shape id="_x0000_i1026" type="#_x0000_t75" style="width:57.75pt;height:53.25pt" o:ole="" fillcolor="blue">
                  <v:imagedata r:id="rId5" o:title=""/>
                </v:shape>
                <o:OLEObject Type="Embed" ProgID="MSPhotoEd.3" ShapeID="_x0000_i1026" DrawAspect="Content" ObjectID="_1630909374" r:id="rId7"/>
              </w:object>
            </w:r>
          </w:p>
          <w:p w:rsidR="00324945" w:rsidRPr="00473A7C" w:rsidRDefault="00324945" w:rsidP="007115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>ΕΛΛΗΝΙΚΗ  ΔΗΜΟΚΡΑΤΙΑ</w:t>
            </w:r>
          </w:p>
          <w:p w:rsidR="00324945" w:rsidRPr="00473A7C" w:rsidRDefault="00324945" w:rsidP="007115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ΝΟΜΟΣ  ΞΑΝΘΗΣ</w:t>
            </w:r>
          </w:p>
          <w:p w:rsidR="00324945" w:rsidRPr="00473A7C" w:rsidRDefault="00324945" w:rsidP="007115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ΔΗΜΟΣ  ΞΑΝΘΗΣ</w:t>
            </w:r>
          </w:p>
          <w:p w:rsidR="00324945" w:rsidRPr="00473A7C" w:rsidRDefault="00324945" w:rsidP="007115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ΔΗΜΟΤΙΚΗ ΕΝΟΤΗΤΑ </w:t>
            </w:r>
          </w:p>
          <w:p w:rsidR="00324945" w:rsidRPr="00473A7C" w:rsidRDefault="00324945" w:rsidP="00711592">
            <w:pP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Pr="00473A7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ΣΤΑΥΡΟΥΠΟΛΗΣ</w:t>
            </w: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87" w:type="dxa"/>
          </w:tcPr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4945" w:rsidRDefault="00324945" w:rsidP="00711592">
            <w:pPr>
              <w:ind w:right="-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ΠΑΡΟΧΗ ΥΠΗΡΕΣΙΑΣ ΜΕ ΤΙΤΛΟ : </w:t>
            </w:r>
          </w:p>
          <w:p w:rsidR="00324945" w:rsidRDefault="00324945" w:rsidP="00711592">
            <w:pPr>
              <w:ind w:right="-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«ΑΣΦΑΛΙΣΗ ΤΟΥ ΔΑΣΙΚΟΥ ΧΩΡΙΟΥ</w:t>
            </w:r>
          </w:p>
          <w:p w:rsidR="00324945" w:rsidRPr="00473A7C" w:rsidRDefault="00324945" w:rsidP="00711592">
            <w:pPr>
              <w:ind w:right="-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ΕΡΥΜΑΝΘΟΥ ΚΑΤΑ ΤΟΥ ΚΙΝΔΥΝΟΥ ΤΗΣ ΠΥΡΚΑΓΙΑΣ»</w:t>
            </w:r>
          </w:p>
          <w:p w:rsidR="00324945" w:rsidRPr="00407B88" w:rsidRDefault="00324945" w:rsidP="0071159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324945" w:rsidRPr="0000422D" w:rsidRDefault="00324945" w:rsidP="00711592">
            <w:pPr>
              <w:rPr>
                <w:rFonts w:ascii="Times New Roman" w:hAnsi="Times New Roman"/>
                <w:sz w:val="24"/>
                <w:szCs w:val="24"/>
              </w:rPr>
            </w:pPr>
            <w:r w:rsidRPr="001F61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422D">
              <w:rPr>
                <w:rFonts w:ascii="Times New Roman" w:hAnsi="Times New Roman"/>
                <w:sz w:val="24"/>
                <w:szCs w:val="24"/>
              </w:rPr>
              <w:t>Κ.Α.Ε. : 02.15.6251</w:t>
            </w:r>
          </w:p>
          <w:p w:rsidR="00324945" w:rsidRPr="0000422D" w:rsidRDefault="00324945" w:rsidP="00711592">
            <w:pPr>
              <w:rPr>
                <w:rFonts w:ascii="Times New Roman" w:hAnsi="Times New Roman"/>
                <w:sz w:val="24"/>
                <w:szCs w:val="24"/>
              </w:rPr>
            </w:pPr>
            <w:r w:rsidRPr="0000422D">
              <w:rPr>
                <w:rFonts w:ascii="Times New Roman" w:hAnsi="Times New Roman"/>
                <w:sz w:val="24"/>
                <w:szCs w:val="24"/>
              </w:rPr>
              <w:t xml:space="preserve"> ΠΡ/ΣΜΟΣ : 1.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0422D">
              <w:rPr>
                <w:rFonts w:ascii="Times New Roman" w:hAnsi="Times New Roman"/>
                <w:sz w:val="24"/>
                <w:szCs w:val="24"/>
              </w:rPr>
              <w:t xml:space="preserve">0.00  €  </w:t>
            </w:r>
          </w:p>
          <w:p w:rsidR="00324945" w:rsidRDefault="00324945" w:rsidP="007115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24945" w:rsidRPr="001F61BC" w:rsidRDefault="00324945" w:rsidP="00711592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F61B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61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F61B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        </w:t>
            </w:r>
          </w:p>
        </w:tc>
      </w:tr>
    </w:tbl>
    <w:p w:rsidR="00324945" w:rsidRDefault="00324945" w:rsidP="0032494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22D2B">
        <w:rPr>
          <w:rFonts w:ascii="Times New Roman" w:hAnsi="Times New Roman"/>
          <w:b/>
          <w:sz w:val="28"/>
          <w:szCs w:val="28"/>
          <w:u w:val="single"/>
        </w:rPr>
        <w:t>ΕΝΔΕΙΚΤΙΚΟΣ  ΠΡΟΫΠΟΛΟΓΙΣΜΟΣ</w:t>
      </w:r>
    </w:p>
    <w:p w:rsidR="00324945" w:rsidRPr="00A22D2B" w:rsidRDefault="00324945" w:rsidP="00324945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24945" w:rsidRPr="00A22D2B" w:rsidRDefault="00324945" w:rsidP="0032494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Η υπηρεσία </w:t>
      </w:r>
      <w:r w:rsidRPr="00A22D2B">
        <w:rPr>
          <w:rFonts w:ascii="Times New Roman" w:hAnsi="Times New Roman"/>
          <w:sz w:val="28"/>
          <w:szCs w:val="28"/>
        </w:rPr>
        <w:t xml:space="preserve"> αφορά  τ</w:t>
      </w:r>
      <w:r>
        <w:rPr>
          <w:rFonts w:ascii="Times New Roman" w:hAnsi="Times New Roman"/>
          <w:sz w:val="28"/>
          <w:szCs w:val="28"/>
        </w:rPr>
        <w:t xml:space="preserve">ην ασφάλιση </w:t>
      </w:r>
      <w:r w:rsidRPr="00A22D2B">
        <w:rPr>
          <w:rFonts w:ascii="Times New Roman" w:hAnsi="Times New Roman"/>
          <w:sz w:val="28"/>
          <w:szCs w:val="28"/>
        </w:rPr>
        <w:t>του Δασικού  Χωριού</w:t>
      </w:r>
      <w:r>
        <w:rPr>
          <w:rFonts w:ascii="Times New Roman" w:hAnsi="Times New Roman"/>
          <w:sz w:val="28"/>
          <w:szCs w:val="28"/>
        </w:rPr>
        <w:t xml:space="preserve"> Ερυμάνθου κατά του κινδύνου της πυρκαγιάς</w:t>
      </w:r>
    </w:p>
    <w:p w:rsidR="00324945" w:rsidRPr="00A22D2B" w:rsidRDefault="00324945" w:rsidP="00324945">
      <w:pPr>
        <w:jc w:val="center"/>
        <w:rPr>
          <w:rFonts w:ascii="Times New Roman" w:hAnsi="Times New Roman"/>
          <w:sz w:val="28"/>
          <w:szCs w:val="28"/>
        </w:rPr>
      </w:pPr>
    </w:p>
    <w:p w:rsidR="00324945" w:rsidRPr="00A22D2B" w:rsidRDefault="00324945" w:rsidP="00324945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5190"/>
        <w:gridCol w:w="269"/>
        <w:gridCol w:w="1368"/>
        <w:gridCol w:w="226"/>
        <w:gridCol w:w="10"/>
        <w:gridCol w:w="1955"/>
      </w:tblGrid>
      <w:tr w:rsidR="00324945" w:rsidRPr="00A22D2B" w:rsidTr="00711592"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Default="00324945" w:rsidP="0071159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</w:p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α/α</w:t>
            </w:r>
          </w:p>
        </w:tc>
        <w:tc>
          <w:tcPr>
            <w:tcW w:w="5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</w:p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ΠΕΡΙΓΡΑΦΗ</w:t>
            </w:r>
          </w:p>
        </w:tc>
        <w:tc>
          <w:tcPr>
            <w:tcW w:w="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Διάρκεια</w:t>
            </w:r>
          </w:p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B91680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Cs w:val="22"/>
                <w:lang w:eastAsia="zh-CN" w:bidi="hi-IN"/>
              </w:rPr>
            </w:pP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Μερική Δαπάνη</w:t>
            </w:r>
          </w:p>
        </w:tc>
      </w:tr>
      <w:tr w:rsidR="00324945" w:rsidRPr="00A22D2B" w:rsidTr="00711592">
        <w:tc>
          <w:tcPr>
            <w:tcW w:w="5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51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Ασφάλιση Δασικού Χωριού Ερυμάνθου κατά του κινδύνου της πυρκαγιάς</w:t>
            </w:r>
          </w:p>
        </w:tc>
        <w:tc>
          <w:tcPr>
            <w:tcW w:w="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68" w:type="dxa"/>
            <w:shd w:val="clear" w:color="auto" w:fill="auto"/>
          </w:tcPr>
          <w:p w:rsidR="00324945" w:rsidRPr="00A22D2B" w:rsidRDefault="00324945" w:rsidP="007115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Ένα (1) έτος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324945" w:rsidRPr="00A22D2B" w:rsidRDefault="00324945" w:rsidP="0071159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5" w:type="dxa"/>
            <w:shd w:val="clear" w:color="auto" w:fill="auto"/>
          </w:tcPr>
          <w:p w:rsidR="00324945" w:rsidRPr="00A22D2B" w:rsidRDefault="00324945" w:rsidP="007115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1.200</w:t>
            </w:r>
            <w:r w:rsidRPr="00A22D2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324945" w:rsidRPr="00A22D2B" w:rsidTr="00711592">
        <w:tc>
          <w:tcPr>
            <w:tcW w:w="764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ΣΥΝΟΛΟ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324945" w:rsidRPr="00A22D2B" w:rsidRDefault="00324945" w:rsidP="007115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1.200</w:t>
            </w:r>
            <w:r w:rsidRPr="00A22D2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324945" w:rsidRPr="00A22D2B" w:rsidTr="00711592">
        <w:tc>
          <w:tcPr>
            <w:tcW w:w="764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Φ.Π.Α. 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324945" w:rsidRPr="00A22D2B" w:rsidRDefault="00324945" w:rsidP="007115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---</w:t>
            </w:r>
          </w:p>
        </w:tc>
      </w:tr>
      <w:tr w:rsidR="00324945" w:rsidRPr="00A22D2B" w:rsidTr="00711592">
        <w:tc>
          <w:tcPr>
            <w:tcW w:w="7641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24945" w:rsidRPr="00A22D2B" w:rsidRDefault="00324945" w:rsidP="007115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ΣΥΝΟΛ</w:t>
            </w: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ΙΚΗ  ΔΑΠΑΝΗ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324945" w:rsidRPr="00A22D2B" w:rsidRDefault="00324945" w:rsidP="007115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1.200,0</w:t>
            </w:r>
            <w:r w:rsidRPr="00A22D2B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€</w:t>
            </w:r>
          </w:p>
        </w:tc>
      </w:tr>
    </w:tbl>
    <w:p w:rsidR="00324945" w:rsidRPr="00A22D2B" w:rsidRDefault="00324945" w:rsidP="00324945">
      <w:pPr>
        <w:rPr>
          <w:rFonts w:ascii="Times New Roman" w:hAnsi="Times New Roman"/>
          <w:sz w:val="28"/>
          <w:szCs w:val="28"/>
        </w:rPr>
      </w:pPr>
    </w:p>
    <w:p w:rsidR="00324945" w:rsidRPr="00A22D2B" w:rsidRDefault="00324945" w:rsidP="00324945">
      <w:pPr>
        <w:widowControl w:val="0"/>
        <w:suppressAutoHyphens/>
        <w:autoSpaceDN w:val="0"/>
        <w:textAlignment w:val="baseline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324945" w:rsidRPr="00A22D2B" w:rsidRDefault="00324945" w:rsidP="00324945">
      <w:pPr>
        <w:rPr>
          <w:rFonts w:ascii="Times New Roman" w:hAnsi="Times New Roman"/>
          <w:sz w:val="28"/>
          <w:szCs w:val="28"/>
        </w:rPr>
      </w:pPr>
      <w:r w:rsidRPr="00A22D2B">
        <w:rPr>
          <w:rFonts w:ascii="Times New Roman" w:hAnsi="Times New Roman"/>
          <w:sz w:val="28"/>
          <w:szCs w:val="28"/>
        </w:rPr>
        <w:t xml:space="preserve">   </w:t>
      </w:r>
      <w:r w:rsidRPr="00A22D2B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>Σταυρούπολη</w:t>
      </w:r>
      <w:r w:rsidRPr="00A22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24  Σεπτεμβρίου </w:t>
      </w:r>
      <w:r w:rsidRPr="00A22D2B">
        <w:rPr>
          <w:rFonts w:ascii="Times New Roman" w:hAnsi="Times New Roman"/>
          <w:sz w:val="28"/>
          <w:szCs w:val="28"/>
        </w:rPr>
        <w:t xml:space="preserve"> 2019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</w:t>
      </w: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ΘΕΩΡΗΘΗΚΕ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Η  ΔΙΕΥΘΥΝΤΡΙΑ   ΔΙΟΙΚΗΤΙΚΩΝ</w:t>
      </w:r>
      <w:r>
        <w:rPr>
          <w:rFonts w:ascii="Times New Roman" w:hAnsi="Times New Roman"/>
          <w:sz w:val="24"/>
          <w:szCs w:val="24"/>
        </w:rPr>
        <w:t xml:space="preserve">                                      Ο   ΣΥΝΤΑΚΤΗΣ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22D2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22D2B">
        <w:rPr>
          <w:rFonts w:ascii="Times New Roman" w:hAnsi="Times New Roman"/>
          <w:sz w:val="24"/>
          <w:szCs w:val="24"/>
        </w:rPr>
        <w:t>ΥΠΗΡΕΣΙΩΝ</w:t>
      </w:r>
    </w:p>
    <w:p w:rsidR="00324945" w:rsidRPr="00A22D2B" w:rsidRDefault="00324945" w:rsidP="00324945">
      <w:pPr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324945" w:rsidRDefault="00324945" w:rsidP="00324945">
      <w:pPr>
        <w:rPr>
          <w:rFonts w:ascii="Bookman Old Style" w:hAnsi="Bookman Old Style"/>
          <w:sz w:val="26"/>
          <w:szCs w:val="26"/>
        </w:rPr>
      </w:pP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Pr="00A22D2B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324945" w:rsidRPr="0021387A" w:rsidRDefault="00324945" w:rsidP="00324945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0E5748" w:rsidRDefault="00324945">
      <w:bookmarkStart w:id="0" w:name="_GoBack"/>
      <w:bookmarkEnd w:id="0"/>
    </w:p>
    <w:sectPr w:rsidR="000E5748" w:rsidSect="00AC0E99">
      <w:pgSz w:w="11906" w:h="16838"/>
      <w:pgMar w:top="360" w:right="1106" w:bottom="540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C2065"/>
    <w:multiLevelType w:val="hybridMultilevel"/>
    <w:tmpl w:val="1DB4070A"/>
    <w:lvl w:ilvl="0" w:tplc="28C2125E">
      <w:start w:val="1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" w15:restartNumberingAfterBreak="0">
    <w:nsid w:val="1FA10CEA"/>
    <w:multiLevelType w:val="hybridMultilevel"/>
    <w:tmpl w:val="1758F72A"/>
    <w:lvl w:ilvl="0" w:tplc="9BB888AE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82"/>
    <w:rsid w:val="00324945"/>
    <w:rsid w:val="004D6662"/>
    <w:rsid w:val="00890582"/>
    <w:rsid w:val="00E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8713"/>
  <w15:chartTrackingRefBased/>
  <w15:docId w15:val="{2AC206B4-822B-4FB4-BD05-A9C8D49F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945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24945"/>
    <w:pPr>
      <w:spacing w:before="120" w:line="320" w:lineRule="exact"/>
      <w:jc w:val="both"/>
    </w:pPr>
  </w:style>
  <w:style w:type="character" w:customStyle="1" w:styleId="2Char">
    <w:name w:val="Σώμα κείμενου 2 Char"/>
    <w:basedOn w:val="a0"/>
    <w:link w:val="2"/>
    <w:rsid w:val="00324945"/>
    <w:rPr>
      <w:rFonts w:ascii="Arial" w:eastAsia="Times New Roman" w:hAnsi="Arial" w:cs="Times New Roman"/>
      <w:szCs w:val="20"/>
      <w:lang w:eastAsia="el-GR"/>
    </w:rPr>
  </w:style>
  <w:style w:type="paragraph" w:styleId="a3">
    <w:name w:val="List Paragraph"/>
    <w:basedOn w:val="a"/>
    <w:uiPriority w:val="34"/>
    <w:qFormat/>
    <w:rsid w:val="00324945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2019-09-25T06:36:00Z</dcterms:created>
  <dcterms:modified xsi:type="dcterms:W3CDTF">2019-09-25T06:36:00Z</dcterms:modified>
</cp:coreProperties>
</file>